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05" w:rsidRPr="0021236F" w:rsidRDefault="00B95305" w:rsidP="00B9530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2. CONTRATAÇÃO DIRETA POR INEXIGIBILIDADE</w:t>
      </w:r>
    </w:p>
    <w:p w:rsidR="00B95305" w:rsidRDefault="00B95305" w:rsidP="00B9530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808080" w:themeColor="background1" w:themeShade="80"/>
        </w:rPr>
      </w:pPr>
      <w:proofErr w:type="gramStart"/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2.1 Contratação</w:t>
      </w:r>
      <w:proofErr w:type="gramEnd"/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 xml:space="preserve"> Direta por Inexigibilidade – Quadro</w:t>
      </w:r>
    </w:p>
    <w:p w:rsidR="00607926" w:rsidRPr="0021236F" w:rsidRDefault="00607926" w:rsidP="00B95305">
      <w:pPr>
        <w:widowControl w:val="0"/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3544"/>
        <w:gridCol w:w="1701"/>
        <w:gridCol w:w="851"/>
      </w:tblGrid>
      <w:tr w:rsidR="00B95305" w:rsidRPr="0021236F" w:rsidTr="00607926"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0"/>
                <w:szCs w:val="20"/>
              </w:rPr>
              <w:t>ATOS E DOCUMENTOS PARA INSTRUIR O PROCESSO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0"/>
                <w:szCs w:val="20"/>
              </w:rPr>
              <w:t>OBSERVAÇÕES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Default="00B9530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SIM/NÃO/</w:t>
            </w:r>
          </w:p>
          <w:p w:rsidR="00B95305" w:rsidRPr="009C1BD7" w:rsidRDefault="00B9530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PREJUDICADO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FLS.</w:t>
            </w:r>
          </w:p>
        </w:tc>
      </w:tr>
      <w:tr w:rsidR="00B95305" w:rsidRPr="0021236F" w:rsidTr="0060792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a) Instauração de processo administrativo devidamente autuado, protocolado e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numerado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38, </w:t>
            </w:r>
            <w:r w:rsidRPr="009C1BD7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caput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 da Lei Federal nº 8.666/93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B95305" w:rsidRPr="0021236F" w:rsidTr="0060792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b) Solicitação da compra ou contratação de serviço ou obra, elaborada por agente ou setor competente, com a indicação do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objeto</w:t>
            </w:r>
            <w:proofErr w:type="gramEnd"/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38, </w:t>
            </w:r>
            <w:r w:rsidRPr="009C1BD7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caput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 da Lei Federal nº8.666/93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B95305" w:rsidRPr="0021236F" w:rsidTr="0060792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c) Elaboração de parecer técnico, contendo exposição acerca das razões de escolha do fornecedor do bem, do executante da obra ou do prestador do serviço, com a configuração da hipótese legal de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inexigibilidade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26, parágrafo único, II, e art. 38, VI, da Lei Federal nº 8.666/93</w:t>
            </w:r>
          </w:p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Caso a contratação seja de serviços, deve o agente ou órgão competente indicar se eles são continuados ou não, e, em caso de aquisição de bens, deve haver a especificação e quantificação do objeto a ser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contratado</w:t>
            </w:r>
            <w:proofErr w:type="gramEnd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B95305" w:rsidRPr="0021236F" w:rsidTr="0060792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d) Apresentação de justificativa da autoridade competente quanto à necessidade do objeto da contratação direta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26, </w:t>
            </w:r>
            <w:r w:rsidRPr="009C1BD7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caput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, da Lei Federal nº8.666/93 e art. 2º, </w:t>
            </w:r>
            <w:r w:rsidRPr="009C1BD7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caput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e parágrafo único, VII, da Lei Federal nº9.784/99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B95305" w:rsidRPr="0021236F" w:rsidTr="0060792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e) Declaração de exclusividade expedida por entidade competente, nas hipóteses do art. 25, I, da Lei federal nº 8.666/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93</w:t>
            </w:r>
            <w:proofErr w:type="gramEnd"/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Caberá ao agente responsável atestar a fonte e veracidade do atestado de exclusividade fornecido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B95305" w:rsidRPr="0021236F" w:rsidTr="0060792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f) Nos casos de contratação direta dos serviços técnicos enumerados no art. 13 da Lei 8.666/93, verificação da notória especialização</w:t>
            </w:r>
            <w:r w:rsidRPr="009C1BD7">
              <w:rPr>
                <w:rStyle w:val="Refdenotaderodap1"/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footnoteReference w:id="1"/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do profissional ou empresa a ser contratada e da singularidade do objeto</w:t>
            </w:r>
            <w:proofErr w:type="gramStart"/>
            <w:r w:rsidRPr="009C1BD7">
              <w:rPr>
                <w:rStyle w:val="Refdenotaderodap1"/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footnoteReference w:id="2"/>
            </w:r>
            <w:proofErr w:type="gramEnd"/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25, §1º, da Lei Federal nº 8.666/93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B95305" w:rsidRPr="0021236F" w:rsidTr="0060792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g) Em se tratando de contratação de obra ou serviço, observância da existência de Projeto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Básico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6º, IX, 7º, §2º, I e §9º, da Lei Federal nº8.666/93.</w:t>
            </w:r>
          </w:p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Nessa hipótese, o Projeto Básico deve ser aprovado por autoridade competente (art. 7º, §2º, I, da Lei federal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nº8.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666/93)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B95305" w:rsidRPr="0021236F" w:rsidTr="0060792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h) Para o caso de contratação de obra ou serviço, verificação quanto à elaboração de Projeto Executivo, ou se existe autorização no sentido de que tal projeto seja desenvolvido concomitantemente com a execução da obra ou do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serviço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6º, X e 7º, II e §§1º e 9º, da Lei Federal nº 8.666/93 </w:t>
            </w:r>
          </w:p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607926" w:rsidRDefault="00607926"/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3544"/>
        <w:gridCol w:w="1701"/>
        <w:gridCol w:w="851"/>
      </w:tblGrid>
      <w:tr w:rsidR="00B95305" w:rsidRPr="0021236F" w:rsidTr="00607926"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lastRenderedPageBreak/>
              <w:t xml:space="preserve">i) Exigência de documentação relativa à qualificação técnica (Atestado de Capacidade Técnica), quando for o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caso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30, da Lei Federal nº 8.666/93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B95305" w:rsidRPr="0021236F" w:rsidTr="00607926">
        <w:tc>
          <w:tcPr>
            <w:tcW w:w="396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rpodetexto2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j) Definição do preço de referência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Preço registrado no SIMAS, além de preço extraído de pesquisa mercadológica realizada em conformidade com a IN 002/2018-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SEAD</w:t>
            </w:r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B95305" w:rsidRPr="0021236F" w:rsidTr="0060792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k)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 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Demonstração da justificativa do preço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26, parágrafo único, III, da Lei Federal nº 8.666/93 </w:t>
            </w:r>
          </w:p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Ex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: cópias de notas fiscais,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empenhos</w:t>
            </w:r>
            <w:proofErr w:type="gramEnd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B95305" w:rsidRPr="0021236F" w:rsidTr="0060792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l) Indicação de previsão de recursos orçamentários e respectivas rubricas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7º, §2º, III, 14 e 38 da Lei Federal nº 8.666/93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B95305" w:rsidRPr="0021236F" w:rsidTr="0060792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m) Se a despesa constituir criação, expansão ou aperfeiçoamento de ação governamental que acarrete aumento da despesa, realização de estimativa de impacto financeiro no exercício em que deva entrar em vigor e nos dois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subsequentes</w:t>
            </w:r>
            <w:proofErr w:type="gramEnd"/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16, I, da Lei complementar federal nº101/2000.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B95305" w:rsidRPr="0021236F" w:rsidTr="0060792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n) Exigência de comprovação, do futuro contratado, de regularidade fiscal federal, estadual e municipal, regularidade com a Seguridade Social – INSS, com o FGTS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 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 trabalhista/CNDT  e declaração do cumprimento do disposto no art. 7º, XXXIII, da CF/88 c/c o art. 27, V, da Lei federal nº 8.666/93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29, III, IV e V da Lei Federal nº 8.666/93, art. 193 do Código Tributário Nacional, art.195, §3º, da CF/88, art.2º, da Lei nº 9.012/95 e art. 642-A, da CLT, acrescentado pela Lei nº12.440/11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B95305" w:rsidRPr="0021236F" w:rsidTr="0060792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o) Autorização para contratação direta (ordenador de despesas), por inexigibilidade, motivada pela autoridade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competente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50, IV, da Lei federal nº 9.784/99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B95305" w:rsidRPr="0021236F" w:rsidTr="0060792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p) Análise jurídica acerca da inexigibilidade licitatória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38, VI, da Lei Federal nº 8.666/93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B95305" w:rsidRPr="0021236F" w:rsidTr="0060792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q) Comunicação à autoridade superior, no prazo de 03 (três) dias, do ato que reconhece a situação de inexigibilidade, para ratificação e publicação no Diário Oficial do Estado, no prazo de 05 (cinco) dias, como condição da eficácia dos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atos</w:t>
            </w:r>
            <w:proofErr w:type="gramEnd"/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26, caput, da Lei Federal nº 8.666/93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B95305" w:rsidRPr="0021236F" w:rsidTr="0060792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r) Homologação emitida pela autoridade competente (ordenador de despesas) para emissão da nota de empenho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B95305" w:rsidRPr="0021236F" w:rsidTr="0060792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s) Assinatura de nota de empenho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B95305" w:rsidRPr="0021236F" w:rsidTr="0060792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t) Assinatura de contrato (ou instrumento equivalente)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38, X, da Lei Federal nº8.666/93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B95305" w:rsidRPr="0021236F" w:rsidTr="0060792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u) Publicação do extrato do contrato, no prazo de 10 (dez)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dias</w:t>
            </w:r>
            <w:proofErr w:type="gramEnd"/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28, §5º, da Constituição Estadual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B95305" w:rsidRPr="0021236F" w:rsidTr="0060792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v) Disponibilização, no portal </w:t>
            </w:r>
            <w:proofErr w:type="spellStart"/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ComprasPará</w:t>
            </w:r>
            <w:proofErr w:type="spellEnd"/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 de todas as informações referentes à inexigibilidade do procedimento licitatório, conforme exigido pelo Decreto Estadual 2.313/2018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2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 xml:space="preserve">o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do Decreto Estadual 2.313/2018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5305" w:rsidRPr="009C1BD7" w:rsidRDefault="00B9530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D549FA" w:rsidRPr="00B95305" w:rsidRDefault="00D549FA" w:rsidP="00E543B3">
      <w:bookmarkStart w:id="0" w:name="_GoBack"/>
      <w:bookmarkEnd w:id="0"/>
    </w:p>
    <w:sectPr w:rsidR="00D549FA" w:rsidRPr="00B95305" w:rsidSect="007C24B5">
      <w:headerReference w:type="default" r:id="rId8"/>
      <w:footerReference w:type="default" r:id="rId9"/>
      <w:pgSz w:w="11906" w:h="16838"/>
      <w:pgMar w:top="1985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A0C" w:rsidRDefault="005D7A0C" w:rsidP="009C5F18">
      <w:pPr>
        <w:spacing w:after="0" w:line="240" w:lineRule="auto"/>
      </w:pPr>
      <w:r>
        <w:separator/>
      </w:r>
    </w:p>
  </w:endnote>
  <w:endnote w:type="continuationSeparator" w:id="0">
    <w:p w:rsidR="005D7A0C" w:rsidRDefault="005D7A0C" w:rsidP="009C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cofont Vera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28" w:rsidRPr="009C5F18" w:rsidRDefault="00C96D28" w:rsidP="009C5F18">
    <w:pPr>
      <w:pStyle w:val="Rodap"/>
      <w:widowControl w:val="0"/>
      <w:jc w:val="center"/>
      <w:rPr>
        <w:rFonts w:ascii="Times New Roman" w:hAnsi="Times New Roman" w:cs="Times New Roman"/>
        <w:sz w:val="20"/>
        <w:szCs w:val="20"/>
      </w:rPr>
    </w:pPr>
    <w:r w:rsidRPr="009C5F18">
      <w:rPr>
        <w:rFonts w:ascii="Times New Roman" w:hAnsi="Times New Roman" w:cs="Times New Roman"/>
        <w:sz w:val="20"/>
        <w:szCs w:val="20"/>
      </w:rPr>
      <w:t>Rua dos Tamoios, 1671, Batista Campos, Belém-</w:t>
    </w:r>
    <w:proofErr w:type="gramStart"/>
    <w:r w:rsidRPr="009C5F18">
      <w:rPr>
        <w:rFonts w:ascii="Times New Roman" w:hAnsi="Times New Roman" w:cs="Times New Roman"/>
        <w:sz w:val="20"/>
        <w:szCs w:val="20"/>
      </w:rPr>
      <w:t>PA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A0C" w:rsidRDefault="005D7A0C" w:rsidP="009C5F18">
      <w:pPr>
        <w:spacing w:after="0" w:line="240" w:lineRule="auto"/>
      </w:pPr>
      <w:r>
        <w:separator/>
      </w:r>
    </w:p>
  </w:footnote>
  <w:footnote w:type="continuationSeparator" w:id="0">
    <w:p w:rsidR="005D7A0C" w:rsidRDefault="005D7A0C" w:rsidP="009C5F18">
      <w:pPr>
        <w:spacing w:after="0" w:line="240" w:lineRule="auto"/>
      </w:pPr>
      <w:r>
        <w:continuationSeparator/>
      </w:r>
    </w:p>
  </w:footnote>
  <w:footnote w:id="1">
    <w:p w:rsidR="00B95305" w:rsidRPr="00C903F6" w:rsidRDefault="00B95305" w:rsidP="00B95305">
      <w:pPr>
        <w:pStyle w:val="Corpodetexto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rStyle w:val="Caracteresdenotaderodap"/>
          <w:rFonts w:ascii="Times New Roman" w:hAnsi="Times New Roman"/>
        </w:rPr>
        <w:footnoteRef/>
      </w:r>
      <w:r>
        <w:rPr>
          <w:rFonts w:ascii="Ecofont Vera Sans" w:hAnsi="Ecofont Vera Sans" w:cs="Ecofont Vera Sans"/>
          <w:sz w:val="20"/>
        </w:rPr>
        <w:tab/>
        <w:t xml:space="preserve"> </w:t>
      </w:r>
      <w:r w:rsidRPr="00C903F6">
        <w:rPr>
          <w:rFonts w:ascii="Times New Roman" w:hAnsi="Times New Roman" w:cs="Times New Roman"/>
          <w:sz w:val="16"/>
          <w:szCs w:val="16"/>
        </w:rPr>
        <w:t>DESPACHO 303/2013/PF-ANP/PGF/AGU: “</w:t>
      </w:r>
      <w:proofErr w:type="gramStart"/>
      <w:r w:rsidRPr="00C903F6">
        <w:rPr>
          <w:rFonts w:ascii="Times New Roman" w:hAnsi="Times New Roman" w:cs="Times New Roman"/>
          <w:sz w:val="16"/>
          <w:szCs w:val="16"/>
        </w:rPr>
        <w:t>c)</w:t>
      </w:r>
      <w:proofErr w:type="gramEnd"/>
      <w:r w:rsidRPr="00C903F6">
        <w:rPr>
          <w:rFonts w:ascii="Times New Roman" w:hAnsi="Times New Roman" w:cs="Times New Roman"/>
          <w:sz w:val="16"/>
          <w:szCs w:val="16"/>
        </w:rPr>
        <w:t xml:space="preserve"> Em relação à comprovação da notória especialização do profissional ou empresa, é de bom alvitre registrar que compete à Administração descrever a adequabilidade entre a experiência profissional dos notórios especialistas (ou da entidade que promove o evento) ao objeto singular do curso que pretende seja ministrado aos seus servidores, sem o que a notoriedade não será capaz de justificar a contratação direta. Ou seja, deve-se demonstrar em quê a notoriedade dos citados profissionais (ou da instituição que promove o curso) será imprescindível para a prestação daquele serviço (terceiro requisito).”</w:t>
      </w:r>
    </w:p>
  </w:footnote>
  <w:footnote w:id="2">
    <w:p w:rsidR="00B95305" w:rsidRPr="00C903F6" w:rsidRDefault="00B95305" w:rsidP="00B95305">
      <w:pPr>
        <w:pStyle w:val="Textodenotaderodap"/>
        <w:widowControl w:val="0"/>
        <w:ind w:left="284" w:hanging="284"/>
        <w:jc w:val="both"/>
        <w:rPr>
          <w:sz w:val="16"/>
          <w:szCs w:val="16"/>
        </w:rPr>
      </w:pPr>
      <w:r w:rsidRPr="00C903F6">
        <w:rPr>
          <w:rStyle w:val="Caracteresdenotaderodap"/>
          <w:rFonts w:ascii="Times New Roman" w:hAnsi="Times New Roman"/>
          <w:sz w:val="16"/>
          <w:szCs w:val="16"/>
        </w:rPr>
        <w:footnoteRef/>
      </w:r>
      <w:r w:rsidRPr="00C903F6">
        <w:rPr>
          <w:sz w:val="16"/>
          <w:szCs w:val="16"/>
        </w:rPr>
        <w:tab/>
        <w:t xml:space="preserve">  </w:t>
      </w:r>
      <w:r w:rsidRPr="00C903F6">
        <w:rPr>
          <w:rFonts w:ascii="Times New Roman" w:hAnsi="Times New Roman" w:cs="Times New Roman"/>
          <w:sz w:val="16"/>
          <w:szCs w:val="16"/>
        </w:rPr>
        <w:t>DESPACHO 303/2013/PF-ANP/PGF/AGU: “</w:t>
      </w:r>
      <w:proofErr w:type="gramStart"/>
      <w:r w:rsidRPr="00C903F6">
        <w:rPr>
          <w:rFonts w:ascii="Times New Roman" w:hAnsi="Times New Roman" w:cs="Times New Roman"/>
          <w:sz w:val="16"/>
          <w:szCs w:val="16"/>
        </w:rPr>
        <w:t>b)</w:t>
      </w:r>
      <w:proofErr w:type="gramEnd"/>
      <w:r w:rsidRPr="00C903F6">
        <w:rPr>
          <w:rFonts w:ascii="Times New Roman" w:hAnsi="Times New Roman" w:cs="Times New Roman"/>
          <w:sz w:val="16"/>
          <w:szCs w:val="16"/>
        </w:rPr>
        <w:t xml:space="preserve"> No que tange à singularidade cabe à Administração a indicação daquilo que torna o curso escolhido diferente dos demais existentes no mercado, no que ele é incomum, ou seja, que diferença faz para a ANP contratar esse curso ao invés de qualquer outro sobre o assunto. A singularidade do objeto está na pertinência entre as características especiais do curso fornecido e sua aplicação aos objetivos institucionais da ANP. É esse link que determina o curso singular para a Administração Pública.”</w:t>
      </w:r>
    </w:p>
    <w:p w:rsidR="00B95305" w:rsidRPr="00C903F6" w:rsidRDefault="00B95305" w:rsidP="00B95305">
      <w:pPr>
        <w:pStyle w:val="Corpodetexto"/>
        <w:spacing w:after="0" w:line="240" w:lineRule="auto"/>
        <w:ind w:left="284" w:hanging="284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100836F" wp14:editId="1BBF2453">
          <wp:simplePos x="0" y="0"/>
          <wp:positionH relativeFrom="column">
            <wp:posOffset>2507615</wp:posOffset>
          </wp:positionH>
          <wp:positionV relativeFrom="paragraph">
            <wp:posOffset>-393700</wp:posOffset>
          </wp:positionV>
          <wp:extent cx="640080" cy="80391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  <w:r w:rsidRPr="009C5F18">
      <w:rPr>
        <w:b/>
        <w:bCs/>
        <w:sz w:val="20"/>
        <w:szCs w:val="20"/>
      </w:rPr>
      <w:t>GOVERNO DO ESTADO DO PARÁ</w:t>
    </w:r>
  </w:p>
  <w:p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</w:pPr>
    <w:r w:rsidRPr="009C5F18">
      <w:rPr>
        <w:b/>
        <w:bCs/>
        <w:sz w:val="20"/>
        <w:szCs w:val="20"/>
      </w:rPr>
      <w:t>PROCURADORIA-GERAL DO ESTADO</w:t>
    </w:r>
  </w:p>
  <w:p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9589F"/>
    <w:multiLevelType w:val="multilevel"/>
    <w:tmpl w:val="054A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AA"/>
    <w:rsid w:val="000D75EE"/>
    <w:rsid w:val="001030C3"/>
    <w:rsid w:val="0013565E"/>
    <w:rsid w:val="002208BD"/>
    <w:rsid w:val="0034523A"/>
    <w:rsid w:val="004543EF"/>
    <w:rsid w:val="004C2EE9"/>
    <w:rsid w:val="004F0878"/>
    <w:rsid w:val="00560082"/>
    <w:rsid w:val="00564C86"/>
    <w:rsid w:val="005B1CF0"/>
    <w:rsid w:val="005D7A0C"/>
    <w:rsid w:val="005F5FAA"/>
    <w:rsid w:val="00607926"/>
    <w:rsid w:val="006A4DDF"/>
    <w:rsid w:val="006B1667"/>
    <w:rsid w:val="006B5DE1"/>
    <w:rsid w:val="00766A5D"/>
    <w:rsid w:val="007C24B5"/>
    <w:rsid w:val="008E70BF"/>
    <w:rsid w:val="009C5F18"/>
    <w:rsid w:val="009D46ED"/>
    <w:rsid w:val="00B95305"/>
    <w:rsid w:val="00BE4DD7"/>
    <w:rsid w:val="00C96D28"/>
    <w:rsid w:val="00D549FA"/>
    <w:rsid w:val="00D744EA"/>
    <w:rsid w:val="00E3254E"/>
    <w:rsid w:val="00E543B3"/>
    <w:rsid w:val="00EF215C"/>
    <w:rsid w:val="00F111A1"/>
    <w:rsid w:val="00F6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B5"/>
    <w:pPr>
      <w:spacing w:after="160" w:line="264" w:lineRule="auto"/>
    </w:pPr>
    <w:rPr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FA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F18"/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F18"/>
  </w:style>
  <w:style w:type="paragraph" w:customStyle="1" w:styleId="Contedodatabela">
    <w:name w:val="Conteúdo da tabela"/>
    <w:basedOn w:val="Normal"/>
    <w:rsid w:val="007C24B5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7C24B5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sz w:val="24"/>
      <w:szCs w:val="21"/>
      <w:lang w:eastAsia="zh-CN" w:bidi="hi-IN"/>
    </w:rPr>
  </w:style>
  <w:style w:type="paragraph" w:styleId="Corpodetexto">
    <w:name w:val="Body Text"/>
    <w:basedOn w:val="Normal"/>
    <w:link w:val="CorpodetextoChar"/>
    <w:rsid w:val="00B95305"/>
    <w:pPr>
      <w:widowControl w:val="0"/>
      <w:suppressAutoHyphens/>
      <w:spacing w:after="140" w:line="288" w:lineRule="auto"/>
    </w:pPr>
    <w:rPr>
      <w:rFonts w:ascii="Liberation Serif" w:eastAsia="Arial Unicode MS" w:hAnsi="Liberation Serif" w:cs="Mangal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B95305"/>
    <w:rPr>
      <w:rFonts w:ascii="Liberation Serif" w:eastAsia="Arial Unicode MS" w:hAnsi="Liberation Serif" w:cs="Mangal"/>
      <w:kern w:val="1"/>
      <w:sz w:val="24"/>
      <w:szCs w:val="24"/>
      <w:lang w:eastAsia="hi-IN" w:bidi="hi-IN"/>
    </w:rPr>
  </w:style>
  <w:style w:type="paragraph" w:styleId="Textodenotaderodap">
    <w:name w:val="footnote text"/>
    <w:basedOn w:val="Normal"/>
    <w:link w:val="TextodenotaderodapChar"/>
    <w:unhideWhenUsed/>
    <w:rsid w:val="00B9530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95305"/>
    <w:rPr>
      <w:sz w:val="20"/>
      <w:szCs w:val="20"/>
      <w:lang w:eastAsia="pt-BR"/>
    </w:rPr>
  </w:style>
  <w:style w:type="character" w:customStyle="1" w:styleId="Caracteresdenotaderodap">
    <w:name w:val="Caracteres de nota de rodapé"/>
    <w:rsid w:val="00B95305"/>
    <w:rPr>
      <w:vertAlign w:val="superscript"/>
    </w:rPr>
  </w:style>
  <w:style w:type="character" w:customStyle="1" w:styleId="Refdenotaderodap1">
    <w:name w:val="Ref. de nota de rodapé1"/>
    <w:rsid w:val="00B953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B5"/>
    <w:pPr>
      <w:spacing w:after="160" w:line="264" w:lineRule="auto"/>
    </w:pPr>
    <w:rPr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FA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F18"/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F18"/>
  </w:style>
  <w:style w:type="paragraph" w:customStyle="1" w:styleId="Contedodatabela">
    <w:name w:val="Conteúdo da tabela"/>
    <w:basedOn w:val="Normal"/>
    <w:rsid w:val="007C24B5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7C24B5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sz w:val="24"/>
      <w:szCs w:val="21"/>
      <w:lang w:eastAsia="zh-CN" w:bidi="hi-IN"/>
    </w:rPr>
  </w:style>
  <w:style w:type="paragraph" w:styleId="Corpodetexto">
    <w:name w:val="Body Text"/>
    <w:basedOn w:val="Normal"/>
    <w:link w:val="CorpodetextoChar"/>
    <w:rsid w:val="00B95305"/>
    <w:pPr>
      <w:widowControl w:val="0"/>
      <w:suppressAutoHyphens/>
      <w:spacing w:after="140" w:line="288" w:lineRule="auto"/>
    </w:pPr>
    <w:rPr>
      <w:rFonts w:ascii="Liberation Serif" w:eastAsia="Arial Unicode MS" w:hAnsi="Liberation Serif" w:cs="Mangal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B95305"/>
    <w:rPr>
      <w:rFonts w:ascii="Liberation Serif" w:eastAsia="Arial Unicode MS" w:hAnsi="Liberation Serif" w:cs="Mangal"/>
      <w:kern w:val="1"/>
      <w:sz w:val="24"/>
      <w:szCs w:val="24"/>
      <w:lang w:eastAsia="hi-IN" w:bidi="hi-IN"/>
    </w:rPr>
  </w:style>
  <w:style w:type="paragraph" w:styleId="Textodenotaderodap">
    <w:name w:val="footnote text"/>
    <w:basedOn w:val="Normal"/>
    <w:link w:val="TextodenotaderodapChar"/>
    <w:unhideWhenUsed/>
    <w:rsid w:val="00B9530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95305"/>
    <w:rPr>
      <w:sz w:val="20"/>
      <w:szCs w:val="20"/>
      <w:lang w:eastAsia="pt-BR"/>
    </w:rPr>
  </w:style>
  <w:style w:type="character" w:customStyle="1" w:styleId="Caracteresdenotaderodap">
    <w:name w:val="Caracteres de nota de rodapé"/>
    <w:rsid w:val="00B95305"/>
    <w:rPr>
      <w:vertAlign w:val="superscript"/>
    </w:rPr>
  </w:style>
  <w:style w:type="character" w:customStyle="1" w:styleId="Refdenotaderodap1">
    <w:name w:val="Ref. de nota de rodapé1"/>
    <w:rsid w:val="00B953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Iêda Fernandes</dc:creator>
  <cp:lastModifiedBy>Iêda Fernandes</cp:lastModifiedBy>
  <cp:revision>6</cp:revision>
  <cp:lastPrinted>2019-03-19T19:40:00Z</cp:lastPrinted>
  <dcterms:created xsi:type="dcterms:W3CDTF">2019-03-19T19:38:00Z</dcterms:created>
  <dcterms:modified xsi:type="dcterms:W3CDTF">2019-03-19T19:40:00Z</dcterms:modified>
</cp:coreProperties>
</file>