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C2" w:rsidRPr="0021236F" w:rsidRDefault="00AF6BC2" w:rsidP="00AF6BC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proofErr w:type="gramStart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9</w:t>
      </w:r>
      <w:proofErr w:type="gramEnd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 REGIME DIFERENCIADO DE CONTRATAÇÕES (RDC)</w:t>
      </w:r>
    </w:p>
    <w:p w:rsidR="00AF6BC2" w:rsidRPr="0021236F" w:rsidRDefault="00AF6BC2" w:rsidP="00AF6BC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proofErr w:type="gramStart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9.1 Regime</w:t>
      </w:r>
      <w:proofErr w:type="gramEnd"/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 xml:space="preserve"> Diferenciado de Contratações (RDC) – Quadro</w:t>
      </w:r>
    </w:p>
    <w:p w:rsidR="00AF6BC2" w:rsidRPr="0021236F" w:rsidRDefault="00AF6BC2" w:rsidP="00AF6BC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  <w:r w:rsidRPr="0021236F">
        <w:rPr>
          <w:rFonts w:ascii="Times New Roman" w:hAnsi="Times New Roman" w:cs="Times New Roman"/>
          <w:b/>
          <w:bCs/>
          <w:color w:val="808080" w:themeColor="background1" w:themeShade="80"/>
        </w:rPr>
        <w:t>9.2 Fases do Regime Diferenciado de Contratações (RDC)</w:t>
      </w:r>
    </w:p>
    <w:p w:rsidR="00AF6BC2" w:rsidRPr="0021236F" w:rsidRDefault="00AF6BC2" w:rsidP="00EC7868">
      <w:pPr>
        <w:spacing w:after="200" w:line="276" w:lineRule="auto"/>
        <w:rPr>
          <w:rFonts w:ascii="Times New Roman" w:hAnsi="Times New Roman" w:cs="Times New Roman"/>
          <w:b/>
          <w:bCs/>
          <w:color w:val="808080" w:themeColor="background1" w:themeShade="80"/>
          <w:u w:val="single"/>
        </w:rPr>
      </w:pPr>
      <w:r w:rsidRPr="0021236F">
        <w:rPr>
          <w:rFonts w:ascii="Times New Roman" w:hAnsi="Times New Roman" w:cs="Times New Roman"/>
          <w:color w:val="808080" w:themeColor="background1" w:themeShade="80"/>
        </w:rPr>
        <w:t>9.2.2. Fase externa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64"/>
        <w:gridCol w:w="3849"/>
        <w:gridCol w:w="1701"/>
        <w:gridCol w:w="851"/>
      </w:tblGrid>
      <w:tr w:rsidR="00AF6BC2" w:rsidRPr="0021236F" w:rsidTr="00EC7868">
        <w:tc>
          <w:tcPr>
            <w:tcW w:w="36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ATOS E DOCUMENTOS PARA INSTRUIR O PROCESSO</w:t>
            </w:r>
          </w:p>
        </w:tc>
        <w:tc>
          <w:tcPr>
            <w:tcW w:w="3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0"/>
                <w:szCs w:val="20"/>
              </w:rPr>
              <w:t>OBSERVAÇÕES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SIM/NÃO/PREJUDICADO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b/>
                <w:color w:val="808080" w:themeColor="background1" w:themeShade="80"/>
                <w:sz w:val="20"/>
                <w:szCs w:val="20"/>
              </w:rPr>
              <w:t>FLS.</w:t>
            </w:r>
          </w:p>
        </w:tc>
      </w:tr>
      <w:tr w:rsidR="00AF6BC2" w:rsidRPr="0021236F" w:rsidTr="00EC7868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a) Publicação:</w:t>
            </w:r>
          </w:p>
          <w:p w:rsidR="00AF6BC2" w:rsidRPr="0005176F" w:rsidRDefault="00AF6BC2" w:rsidP="00AF6BC2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do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extrato do instrumento convocatório no DOE; </w:t>
            </w:r>
          </w:p>
          <w:p w:rsidR="00AF6BC2" w:rsidRPr="0005176F" w:rsidRDefault="00AF6BC2" w:rsidP="00AF6BC2">
            <w:pPr>
              <w:widowControl w:val="0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do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instrumento convocatório em sítio eletrônico oficial centralizado de publicidade de divulgação de licitações e, a critério do gestor, naquele mantido pelo órgão</w:t>
            </w:r>
          </w:p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13, I e II do Decreto Estadual 1.974/2018</w:t>
            </w:r>
          </w:p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As licitações deverão ser PREFERENCIALMENTE sob a forma eletrônica, podendo ser processadas por meio do sistema eletrônico do pregão, admitida a presencial -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 15 e 16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EC7868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b) Apresentação de propostas ou lances, sendo que os modos de disputa podem ser:</w:t>
            </w:r>
          </w:p>
          <w:p w:rsidR="00AF6BC2" w:rsidRPr="0005176F" w:rsidRDefault="00AF6BC2" w:rsidP="00AF6BC2">
            <w:pPr>
              <w:pStyle w:val="Contedodatabela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aberto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(lances públicos e sucessivos, crescentes ou decrescentes, conforme o critério de julgamento adotado), </w:t>
            </w:r>
          </w:p>
          <w:p w:rsidR="00AF6BC2" w:rsidRPr="0005176F" w:rsidRDefault="00AF6BC2" w:rsidP="00AF6BC2">
            <w:pPr>
              <w:pStyle w:val="Contedodatabela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fechado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(as propostas apresentadas pelos licitantes serão sigilosas até a data e hora designadas para divulgação) ou</w:t>
            </w:r>
          </w:p>
          <w:p w:rsidR="00AF6BC2" w:rsidRPr="0005176F" w:rsidRDefault="00AF6BC2" w:rsidP="00AF6BC2">
            <w:pPr>
              <w:pStyle w:val="Contedodatabela"/>
              <w:widowControl w:val="0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combinado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(2 etapas – inicia por um modo e encerra por outro) </w:t>
            </w:r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 17, 20, 24, 25 e 26 do Decreto Estadual 1.974/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EC7868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c) Julgamento das propostas, com a adoção preferencial dos critérios: </w:t>
            </w:r>
          </w:p>
          <w:p w:rsidR="00AF6BC2" w:rsidRPr="0005176F" w:rsidRDefault="00AF6BC2" w:rsidP="00AF6BC2">
            <w:pPr>
              <w:pStyle w:val="Contedodatabela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de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menor preço ou maior desconto: considerará o menor dispêndio para a Administração Pública atendidos os parâmetros mínimos de qualidade definidos no edital </w:t>
            </w:r>
          </w:p>
          <w:p w:rsidR="00AF6BC2" w:rsidRPr="0005176F" w:rsidRDefault="00AF6BC2" w:rsidP="00AF6BC2">
            <w:pPr>
              <w:pStyle w:val="Contedodatabela"/>
              <w:widowControl w:val="0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técnica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 preço: utilizado exclusivamente nas licitações para contratar objeto de natureza predominantemente intelectual e de inovação tecnológica ou técnica ou que possa ser executado com diferentes metodologias ou tecnologias de domínio restrito no mercado </w:t>
            </w:r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27, 28, 30 e 31 do Decreto Estadual 1.974/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2018</w:t>
            </w:r>
            <w:proofErr w:type="gramEnd"/>
          </w:p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EC7868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d) Em caso de empate entre a proposta mais bem classificada e a apresentada por microempresa ou empresa de pequeno porte (até 10% superior àquela), na forma do art. 32 do Decreto Estadual 1.974/2018,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alicação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dos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 32 e 33 do mesmo decreto</w:t>
            </w:r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EC7868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e) Negociação de condições mais vantajosas com o primeiro colocado, após o encerramento da fase de apresentação das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propostas</w:t>
            </w:r>
            <w:proofErr w:type="gramEnd"/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37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7C2798" w:rsidRDefault="007C2798"/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64"/>
        <w:gridCol w:w="3849"/>
        <w:gridCol w:w="1701"/>
        <w:gridCol w:w="851"/>
      </w:tblGrid>
      <w:tr w:rsidR="00AF6BC2" w:rsidRPr="0021236F" w:rsidTr="00286377">
        <w:tc>
          <w:tcPr>
            <w:tcW w:w="36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 xml:space="preserve">f) Aplicação, no que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couber,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dos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27 a 33 da Lei Federal 8666/93, na fase de habilitação, com a exigência de apresentação dos documentos de habilitação 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u w:val="single"/>
              </w:rPr>
              <w:t>apenas do licitante vencedor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exceto no caso de inversão de fases.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39 do Decreto Estadual 1.974/2018</w:t>
            </w:r>
          </w:p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O instrumento convocatório definirá o prazo para a apresentação dos documentos de habilitação.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286377">
        <w:tc>
          <w:tcPr>
            <w:tcW w:w="366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g) Instauração de fase recursal única, após o término da fase de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habilitação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4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spellStart"/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arts</w:t>
            </w:r>
            <w:proofErr w:type="spellEnd"/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. 45 e 46 do Decreto Estadual 1.974/2018</w:t>
            </w:r>
          </w:p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Recurso em face de atos do julgamento ou da habilitação deverão ser manifestados após o término de cada sessão, sob pena de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preclusão</w:t>
            </w:r>
            <w:proofErr w:type="gramEnd"/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286377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h) Exercício do juízo de retratação, no prazo de cinco dias, pela autoridade que praticou o ato recorrido, ou, em não havendo reconsideração,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exercíco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do juízo de admissibilidade do recurso, com o posterior encaminhamento, para julgamento, à autoridade superior, devidamente informado, a quem competirá decidir em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5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(cinco) dias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úteis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, contados do seu recebimento, sob pena de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apuração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de responsabilidade. </w:t>
            </w:r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49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286377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i) Negociação de condições mais vantajosas com o primeiro colocado, finalizada a fase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recursal</w:t>
            </w:r>
            <w:proofErr w:type="gramEnd"/>
          </w:p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52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286377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j) Encerramento do procedimento licitatório após o exaurimento da fase recursal, com o encaminhamento dos autos à autoridade superior, que poderá:</w:t>
            </w:r>
          </w:p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AF6BC2" w:rsidRPr="0005176F" w:rsidRDefault="00AF6BC2" w:rsidP="00AF6BC2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determinar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o retorno dos autos para saneamento de irregularidades que forem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supríveis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; </w:t>
            </w:r>
          </w:p>
          <w:p w:rsidR="00AF6BC2" w:rsidRPr="0005176F" w:rsidRDefault="00AF6BC2" w:rsidP="00AF6BC2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anular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o procedimento, no todo ou em parte, por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vício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insanável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;</w:t>
            </w:r>
          </w:p>
          <w:p w:rsidR="00AF6BC2" w:rsidRPr="0005176F" w:rsidRDefault="00AF6BC2" w:rsidP="00AF6BC2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revogar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o procedimento por motivo de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conveniência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e/ou oportunidade; ou </w:t>
            </w:r>
          </w:p>
          <w:p w:rsidR="00AF6BC2" w:rsidRPr="0005176F" w:rsidRDefault="00AF6BC2" w:rsidP="00AF6BC2">
            <w:pPr>
              <w:widowControl w:val="0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adjudicar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o objeto, homologar a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licitação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e convocar o licitante vencedor para a assinatura do contrato, preferencialmente em ato </w:t>
            </w:r>
            <w:proofErr w:type="spell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único</w:t>
            </w:r>
            <w:proofErr w:type="spell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 53 do Decreto Estadual 1.974/2018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286377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k) Convocação do vencedor para assinar o instrumento contratual, aceitar ou retirar o instrumento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equivalente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54 do Decreto Estadual 1.974/2018</w:t>
            </w:r>
          </w:p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O interessado deverá observar os prazos e as condições estabelecidas,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sob pena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de perder o direito à contratação, sem prejuízo das sanções previstas em lei.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7C2798" w:rsidRDefault="007C2798"/>
    <w:p w:rsidR="001D26FE" w:rsidRDefault="001D26FE"/>
    <w:p w:rsidR="001D26FE" w:rsidRDefault="001D26FE">
      <w:bookmarkStart w:id="0" w:name="_GoBack"/>
      <w:bookmarkEnd w:id="0"/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64"/>
        <w:gridCol w:w="3849"/>
        <w:gridCol w:w="1701"/>
        <w:gridCol w:w="851"/>
      </w:tblGrid>
      <w:tr w:rsidR="00AF6BC2" w:rsidRPr="0021236F" w:rsidTr="00286377">
        <w:tc>
          <w:tcPr>
            <w:tcW w:w="36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lastRenderedPageBreak/>
              <w:t>l) Quando o convocado não assinar o termo de contrato, ou não aceitar ou retirar o instrumento equivalente, no prazo e condições estabelecidos:</w:t>
            </w:r>
          </w:p>
          <w:p w:rsidR="00AF6BC2" w:rsidRPr="0005176F" w:rsidRDefault="00AF6BC2" w:rsidP="00AF6BC2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71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revogação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da licitação, sem prejuízo da aplicação das cominações previstas na Lei Federal nº 8.666/93 e na Lei Federal nº 12.462/11; ou</w:t>
            </w:r>
          </w:p>
          <w:p w:rsidR="00AF6BC2" w:rsidRPr="0005176F" w:rsidRDefault="00AF6BC2" w:rsidP="00AF6BC2">
            <w:pPr>
              <w:widowControl w:val="0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371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convocação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dos licitantes remanescentes, na ordem de classificação, para a celebração do contrato nas condições ofertadas pelo licitante vencedor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55 do Decreto Estadual 1.974/2018</w:t>
            </w:r>
          </w:p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Na hipótese de nenhum dos licitantes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aceitar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a contratação, a Administração Pública poderá convocar os licitantes remanescentes, na ordem de classificação, para a celebração do contrato nas condições ofertadas por estes, desde que o valor seja igual ou inferior ao orçamento estimado para a contratação, inclusive quanto aos preços atualizados, nos termos do instrumento convocatório (art. 55, parágrafo único, do Decreto Estadual 1.974/2018)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286377">
        <w:tc>
          <w:tcPr>
            <w:tcW w:w="366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TableContents"/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m) Análise do procedimento licitatório pela assessoria jurídica</w:t>
            </w:r>
          </w:p>
        </w:tc>
        <w:tc>
          <w:tcPr>
            <w:tcW w:w="384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286377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TableContents"/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n) Homologação do certame pela autoridade superior</w:t>
            </w:r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286377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TableContents"/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o) Adjudicação do objeto ao vencedor e assinatura do contrato</w:t>
            </w:r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286377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TableContents"/>
              <w:widowControl w:val="0"/>
              <w:suppressAutoHyphens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p) Publicação do extrato contratual, no prazo de 10 </w:t>
            </w: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dias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TableContents"/>
              <w:widowControl w:val="0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28, §5º da Constituição Estadual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TableContents"/>
              <w:widowControl w:val="0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TableContents"/>
              <w:widowControl w:val="0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AF6BC2" w:rsidRPr="0021236F" w:rsidTr="00286377">
        <w:tc>
          <w:tcPr>
            <w:tcW w:w="36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q) Disponibilização, no portal </w:t>
            </w:r>
            <w:proofErr w:type="spellStart"/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ComprasPará</w:t>
            </w:r>
            <w:proofErr w:type="spellEnd"/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, de todas as informações referentes ao procedimento licitatório, conforme exigido pelo Decreto Estadual 2.313/2018</w:t>
            </w:r>
          </w:p>
        </w:tc>
        <w:tc>
          <w:tcPr>
            <w:tcW w:w="3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>art.</w:t>
            </w:r>
            <w:proofErr w:type="gramEnd"/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 2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  <w:vertAlign w:val="superscript"/>
              </w:rPr>
              <w:t xml:space="preserve">o </w:t>
            </w:r>
            <w:r w:rsidRPr="0005176F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t xml:space="preserve">do Decreto Estadual 2.313/2018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F6BC2" w:rsidRPr="0005176F" w:rsidRDefault="00AF6BC2" w:rsidP="00D024C8">
            <w:pPr>
              <w:pStyle w:val="Contedodatabela"/>
              <w:widowControl w:val="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AF6BC2" w:rsidRPr="0021236F" w:rsidRDefault="00AF6BC2" w:rsidP="00AF6BC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</w:rPr>
      </w:pPr>
    </w:p>
    <w:p w:rsidR="00AF6BC2" w:rsidRPr="0021236F" w:rsidRDefault="00AF6BC2" w:rsidP="00AF6BC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6"/>
          <w:szCs w:val="26"/>
        </w:rPr>
      </w:pPr>
    </w:p>
    <w:p w:rsidR="00D549FA" w:rsidRPr="00AF6BC2" w:rsidRDefault="00D549FA" w:rsidP="00AF6BC2"/>
    <w:sectPr w:rsidR="00D549FA" w:rsidRPr="00AF6BC2" w:rsidSect="007C24B5">
      <w:headerReference w:type="default" r:id="rId8"/>
      <w:footerReference w:type="default" r:id="rId9"/>
      <w:pgSz w:w="11906" w:h="16838"/>
      <w:pgMar w:top="1985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39" w:rsidRDefault="00323539" w:rsidP="009C5F18">
      <w:pPr>
        <w:spacing w:after="0" w:line="240" w:lineRule="auto"/>
      </w:pPr>
      <w:r>
        <w:separator/>
      </w:r>
    </w:p>
  </w:endnote>
  <w:endnote w:type="continuationSeparator" w:id="0">
    <w:p w:rsidR="00323539" w:rsidRDefault="00323539" w:rsidP="009C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8" w:rsidRPr="009C5F18" w:rsidRDefault="00C96D28" w:rsidP="009C5F18">
    <w:pPr>
      <w:pStyle w:val="Rodap"/>
      <w:widowControl w:val="0"/>
      <w:jc w:val="center"/>
      <w:rPr>
        <w:rFonts w:ascii="Times New Roman" w:hAnsi="Times New Roman" w:cs="Times New Roman"/>
        <w:sz w:val="20"/>
        <w:szCs w:val="20"/>
      </w:rPr>
    </w:pPr>
    <w:r w:rsidRPr="009C5F18">
      <w:rPr>
        <w:rFonts w:ascii="Times New Roman" w:hAnsi="Times New Roman" w:cs="Times New Roman"/>
        <w:sz w:val="20"/>
        <w:szCs w:val="20"/>
      </w:rPr>
      <w:t>Rua dos Tamoios, 1671, Batista Campos, Belém-</w:t>
    </w:r>
    <w:proofErr w:type="gramStart"/>
    <w:r w:rsidRPr="009C5F18">
      <w:rPr>
        <w:rFonts w:ascii="Times New Roman" w:hAnsi="Times New Roman" w:cs="Times New Roman"/>
        <w:sz w:val="20"/>
        <w:szCs w:val="20"/>
      </w:rPr>
      <w:t>PA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39" w:rsidRDefault="00323539" w:rsidP="009C5F18">
      <w:pPr>
        <w:spacing w:after="0" w:line="240" w:lineRule="auto"/>
      </w:pPr>
      <w:r>
        <w:separator/>
      </w:r>
    </w:p>
  </w:footnote>
  <w:footnote w:type="continuationSeparator" w:id="0">
    <w:p w:rsidR="00323539" w:rsidRDefault="00323539" w:rsidP="009C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100836F" wp14:editId="1BBF2453">
          <wp:simplePos x="0" y="0"/>
          <wp:positionH relativeFrom="column">
            <wp:posOffset>2971743</wp:posOffset>
          </wp:positionH>
          <wp:positionV relativeFrom="paragraph">
            <wp:posOffset>-393700</wp:posOffset>
          </wp:positionV>
          <wp:extent cx="640080" cy="8039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 P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:rsidR="00C96D2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rFonts w:ascii="Arial" w:hAnsi="Arial" w:cs="Arial"/>
        <w:b/>
        <w:bCs/>
        <w:sz w:val="20"/>
        <w:szCs w:val="20"/>
      </w:rPr>
    </w:pP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  <w:r w:rsidRPr="009C5F18">
      <w:rPr>
        <w:b/>
        <w:bCs/>
        <w:sz w:val="20"/>
        <w:szCs w:val="20"/>
      </w:rPr>
      <w:t>GOVERNO DO ESTADO DO PARÁ</w:t>
    </w: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</w:pPr>
    <w:r w:rsidRPr="009C5F18">
      <w:rPr>
        <w:b/>
        <w:bCs/>
        <w:sz w:val="20"/>
        <w:szCs w:val="20"/>
      </w:rPr>
      <w:t>PROCURADORIA-GERAL DO ESTADO</w:t>
    </w:r>
  </w:p>
  <w:p w:rsidR="00C96D28" w:rsidRPr="009C5F18" w:rsidRDefault="00C96D28" w:rsidP="009C5F18">
    <w:pPr>
      <w:pStyle w:val="NormalWeb"/>
      <w:widowControl w:val="0"/>
      <w:spacing w:before="0" w:beforeAutospacing="0" w:after="0" w:line="240" w:lineRule="auto"/>
      <w:jc w:val="center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0"/>
        </w:tabs>
        <w:ind w:left="1121" w:hanging="360"/>
      </w:p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5"/>
    <w:multiLevelType w:val="singleLevel"/>
    <w:tmpl w:val="00000005"/>
    <w:name w:val="WW8Num9"/>
    <w:lvl w:ilvl="0">
      <w:start w:val="1"/>
      <w:numFmt w:val="lowerLetter"/>
      <w:lvlText w:val="(%1)"/>
      <w:lvlJc w:val="left"/>
      <w:pPr>
        <w:tabs>
          <w:tab w:val="num" w:pos="0"/>
        </w:tabs>
        <w:ind w:left="840" w:hanging="480"/>
      </w:pPr>
      <w:rPr>
        <w:rFonts w:ascii="Times New Roman" w:hAnsi="Times New Roman" w:cs="Times New Roman" w:hint="default"/>
      </w:rPr>
    </w:lvl>
  </w:abstractNum>
  <w:abstractNum w:abstractNumId="3">
    <w:nsid w:val="00000006"/>
    <w:multiLevelType w:val="multilevel"/>
    <w:tmpl w:val="0000000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7"/>
    <w:multiLevelType w:val="multilevel"/>
    <w:tmpl w:val="00000007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C"/>
    <w:multiLevelType w:val="multilevel"/>
    <w:tmpl w:val="0000000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D"/>
    <w:multiLevelType w:val="multilevel"/>
    <w:tmpl w:val="0000000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149589F"/>
    <w:multiLevelType w:val="multilevel"/>
    <w:tmpl w:val="054A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AA"/>
    <w:rsid w:val="0001006A"/>
    <w:rsid w:val="00035BCB"/>
    <w:rsid w:val="000876D2"/>
    <w:rsid w:val="000D75EE"/>
    <w:rsid w:val="001030C3"/>
    <w:rsid w:val="0018232E"/>
    <w:rsid w:val="001D26FE"/>
    <w:rsid w:val="002208BD"/>
    <w:rsid w:val="00286377"/>
    <w:rsid w:val="00323539"/>
    <w:rsid w:val="00334E28"/>
    <w:rsid w:val="0034523A"/>
    <w:rsid w:val="004543EF"/>
    <w:rsid w:val="00463941"/>
    <w:rsid w:val="004831F9"/>
    <w:rsid w:val="004835E3"/>
    <w:rsid w:val="004C2EE9"/>
    <w:rsid w:val="004F0878"/>
    <w:rsid w:val="00533A60"/>
    <w:rsid w:val="00560082"/>
    <w:rsid w:val="00564C86"/>
    <w:rsid w:val="005B1CF0"/>
    <w:rsid w:val="005F5FAA"/>
    <w:rsid w:val="00672B66"/>
    <w:rsid w:val="006A4DDF"/>
    <w:rsid w:val="006A4E64"/>
    <w:rsid w:val="006B1667"/>
    <w:rsid w:val="006B5DE1"/>
    <w:rsid w:val="006D1800"/>
    <w:rsid w:val="00720D8F"/>
    <w:rsid w:val="0073383B"/>
    <w:rsid w:val="00763806"/>
    <w:rsid w:val="00766A5D"/>
    <w:rsid w:val="007C24B5"/>
    <w:rsid w:val="007C2798"/>
    <w:rsid w:val="008E70BF"/>
    <w:rsid w:val="009C5F18"/>
    <w:rsid w:val="009D46ED"/>
    <w:rsid w:val="00A00212"/>
    <w:rsid w:val="00A016E3"/>
    <w:rsid w:val="00A71A3B"/>
    <w:rsid w:val="00AF6BC2"/>
    <w:rsid w:val="00B03D4B"/>
    <w:rsid w:val="00BE4DD7"/>
    <w:rsid w:val="00C0053A"/>
    <w:rsid w:val="00C074FF"/>
    <w:rsid w:val="00C96D28"/>
    <w:rsid w:val="00CD544B"/>
    <w:rsid w:val="00D549FA"/>
    <w:rsid w:val="00E147E7"/>
    <w:rsid w:val="00E3254E"/>
    <w:rsid w:val="00E91DDA"/>
    <w:rsid w:val="00EC7868"/>
    <w:rsid w:val="00EF215C"/>
    <w:rsid w:val="00F111A1"/>
    <w:rsid w:val="00F6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  <w:style w:type="character" w:styleId="nfase">
    <w:name w:val="Emphasis"/>
    <w:basedOn w:val="Fontepargpadro"/>
    <w:qFormat/>
    <w:rsid w:val="00CD544B"/>
    <w:rPr>
      <w:i/>
      <w:iCs/>
      <w:color w:val="1F497D" w:themeColor="text2"/>
    </w:rPr>
  </w:style>
  <w:style w:type="character" w:styleId="Hyperlink">
    <w:name w:val="Hyperlink"/>
    <w:basedOn w:val="Fontepargpadro"/>
    <w:unhideWhenUsed/>
    <w:rsid w:val="00CD544B"/>
    <w:rPr>
      <w:color w:val="0000FF"/>
      <w:u w:val="single"/>
    </w:rPr>
  </w:style>
  <w:style w:type="paragraph" w:customStyle="1" w:styleId="TableContents">
    <w:name w:val="Table Contents"/>
    <w:basedOn w:val="Normal"/>
    <w:rsid w:val="00A00212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Caracteresdenotaderodap">
    <w:name w:val="Caracteres de nota de rodapé"/>
    <w:rsid w:val="0073383B"/>
    <w:rPr>
      <w:vertAlign w:val="superscript"/>
    </w:rPr>
  </w:style>
  <w:style w:type="character" w:customStyle="1" w:styleId="Refdenotaderodap1">
    <w:name w:val="Ref. de nota de rodapé1"/>
    <w:rsid w:val="007338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B5"/>
    <w:pPr>
      <w:spacing w:after="160" w:line="264" w:lineRule="auto"/>
    </w:pPr>
    <w:rPr>
      <w:sz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5FA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F18"/>
  </w:style>
  <w:style w:type="paragraph" w:styleId="Rodap">
    <w:name w:val="footer"/>
    <w:basedOn w:val="Normal"/>
    <w:link w:val="RodapChar"/>
    <w:uiPriority w:val="99"/>
    <w:unhideWhenUsed/>
    <w:rsid w:val="009C5F18"/>
    <w:pPr>
      <w:tabs>
        <w:tab w:val="center" w:pos="4252"/>
        <w:tab w:val="right" w:pos="8504"/>
      </w:tabs>
      <w:spacing w:after="0" w:line="240" w:lineRule="auto"/>
    </w:pPr>
    <w:rPr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F18"/>
  </w:style>
  <w:style w:type="paragraph" w:customStyle="1" w:styleId="Contedodatabela">
    <w:name w:val="Conteúdo da tabela"/>
    <w:basedOn w:val="Normal"/>
    <w:rsid w:val="007C24B5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rsid w:val="007C24B5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sz w:val="24"/>
      <w:szCs w:val="21"/>
      <w:lang w:eastAsia="zh-CN" w:bidi="hi-IN"/>
    </w:rPr>
  </w:style>
  <w:style w:type="character" w:styleId="nfase">
    <w:name w:val="Emphasis"/>
    <w:basedOn w:val="Fontepargpadro"/>
    <w:qFormat/>
    <w:rsid w:val="00CD544B"/>
    <w:rPr>
      <w:i/>
      <w:iCs/>
      <w:color w:val="1F497D" w:themeColor="text2"/>
    </w:rPr>
  </w:style>
  <w:style w:type="character" w:styleId="Hyperlink">
    <w:name w:val="Hyperlink"/>
    <w:basedOn w:val="Fontepargpadro"/>
    <w:unhideWhenUsed/>
    <w:rsid w:val="00CD544B"/>
    <w:rPr>
      <w:color w:val="0000FF"/>
      <w:u w:val="single"/>
    </w:rPr>
  </w:style>
  <w:style w:type="paragraph" w:customStyle="1" w:styleId="TableContents">
    <w:name w:val="Table Contents"/>
    <w:basedOn w:val="Normal"/>
    <w:rsid w:val="00A00212"/>
    <w:pPr>
      <w:suppressLineNumbers/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Caracteresdenotaderodap">
    <w:name w:val="Caracteres de nota de rodapé"/>
    <w:rsid w:val="0073383B"/>
    <w:rPr>
      <w:vertAlign w:val="superscript"/>
    </w:rPr>
  </w:style>
  <w:style w:type="character" w:customStyle="1" w:styleId="Refdenotaderodap1">
    <w:name w:val="Ref. de nota de rodapé1"/>
    <w:rsid w:val="00733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Iêda Fernandes</dc:creator>
  <cp:lastModifiedBy>Iêda Fernandes</cp:lastModifiedBy>
  <cp:revision>5</cp:revision>
  <cp:lastPrinted>2019-03-19T20:43:00Z</cp:lastPrinted>
  <dcterms:created xsi:type="dcterms:W3CDTF">2019-03-19T20:42:00Z</dcterms:created>
  <dcterms:modified xsi:type="dcterms:W3CDTF">2019-03-19T20:43:00Z</dcterms:modified>
</cp:coreProperties>
</file>