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proofErr w:type="gramStart"/>
      <w:r w:rsidRPr="0021236F">
        <w:rPr>
          <w:rFonts w:ascii="Times New Roman" w:hAnsi="Times New Roman" w:cs="Times New Roman"/>
          <w:b/>
          <w:bCs/>
          <w:color w:val="808080" w:themeColor="background1" w:themeShade="80"/>
        </w:rPr>
        <w:t>8</w:t>
      </w:r>
      <w:proofErr w:type="gramEnd"/>
      <w:r w:rsidRPr="0021236F">
        <w:rPr>
          <w:rFonts w:ascii="Times New Roman" w:hAnsi="Times New Roman" w:cs="Times New Roman"/>
          <w:b/>
          <w:bCs/>
          <w:color w:val="808080" w:themeColor="background1" w:themeShade="80"/>
        </w:rPr>
        <w:t xml:space="preserve"> TOMADA DE PREÇOS E CONVITE</w:t>
      </w:r>
    </w:p>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proofErr w:type="gramStart"/>
      <w:r w:rsidRPr="0021236F">
        <w:rPr>
          <w:rFonts w:ascii="Times New Roman" w:hAnsi="Times New Roman" w:cs="Times New Roman"/>
          <w:b/>
          <w:bCs/>
          <w:color w:val="808080" w:themeColor="background1" w:themeShade="80"/>
        </w:rPr>
        <w:t>8.1 Tomada de Preços e Convite</w:t>
      </w:r>
      <w:proofErr w:type="gramEnd"/>
      <w:r w:rsidRPr="0021236F">
        <w:rPr>
          <w:rFonts w:ascii="Times New Roman" w:hAnsi="Times New Roman" w:cs="Times New Roman"/>
          <w:b/>
          <w:bCs/>
          <w:color w:val="808080" w:themeColor="background1" w:themeShade="80"/>
        </w:rPr>
        <w:t xml:space="preserve"> – Quadro</w:t>
      </w:r>
    </w:p>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r w:rsidRPr="0021236F">
        <w:rPr>
          <w:rFonts w:ascii="Times New Roman" w:hAnsi="Times New Roman" w:cs="Times New Roman"/>
          <w:b/>
          <w:bCs/>
          <w:color w:val="808080" w:themeColor="background1" w:themeShade="80"/>
        </w:rPr>
        <w:t>8.2. Fases da Tomada de Preços e Convite</w:t>
      </w:r>
    </w:p>
    <w:p w:rsidR="0073383B" w:rsidRPr="0021236F" w:rsidRDefault="0073383B" w:rsidP="0073383B">
      <w:pPr>
        <w:widowControl w:val="0"/>
        <w:spacing w:after="0" w:line="240" w:lineRule="auto"/>
        <w:jc w:val="both"/>
        <w:rPr>
          <w:rFonts w:ascii="Times New Roman" w:hAnsi="Times New Roman" w:cs="Times New Roman"/>
          <w:color w:val="808080" w:themeColor="background1" w:themeShade="80"/>
        </w:rPr>
      </w:pPr>
      <w:bookmarkStart w:id="0" w:name="_GoBack"/>
      <w:bookmarkEnd w:id="0"/>
      <w:r w:rsidRPr="0021236F">
        <w:rPr>
          <w:rFonts w:ascii="Times New Roman" w:hAnsi="Times New Roman" w:cs="Times New Roman"/>
          <w:color w:val="808080" w:themeColor="background1" w:themeShade="80"/>
        </w:rPr>
        <w:t>8.2.2 Fase externa</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3686"/>
        <w:gridCol w:w="3544"/>
        <w:gridCol w:w="1701"/>
        <w:gridCol w:w="992"/>
      </w:tblGrid>
      <w:tr w:rsidR="0073383B" w:rsidRPr="0021236F" w:rsidTr="00B03D4B">
        <w:tc>
          <w:tcPr>
            <w:tcW w:w="3686" w:type="dxa"/>
            <w:tcBorders>
              <w:top w:val="single" w:sz="1" w:space="0" w:color="000000"/>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bCs/>
                <w:color w:val="808080" w:themeColor="background1" w:themeShade="80"/>
                <w:sz w:val="20"/>
                <w:szCs w:val="20"/>
              </w:rPr>
              <w:t>ATOS E DOCUMENTOS PARA INSTRUIR O PROCESSO.</w:t>
            </w:r>
          </w:p>
        </w:tc>
        <w:tc>
          <w:tcPr>
            <w:tcW w:w="3544" w:type="dxa"/>
            <w:tcBorders>
              <w:top w:val="single" w:sz="1" w:space="0" w:color="000000"/>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bCs/>
                <w:color w:val="808080" w:themeColor="background1" w:themeShade="80"/>
                <w:sz w:val="20"/>
                <w:szCs w:val="20"/>
              </w:rPr>
              <w:t>OBSERVAÇÕES</w:t>
            </w:r>
          </w:p>
        </w:tc>
        <w:tc>
          <w:tcPr>
            <w:tcW w:w="1701" w:type="dxa"/>
            <w:tcBorders>
              <w:top w:val="single" w:sz="1" w:space="0" w:color="000000"/>
              <w:left w:val="single" w:sz="1" w:space="0" w:color="000000"/>
              <w:bottom w:val="single" w:sz="1" w:space="0" w:color="000000"/>
            </w:tcBorders>
            <w:shd w:val="clear" w:color="auto" w:fill="auto"/>
          </w:tcPr>
          <w:p w:rsidR="00B03D4B" w:rsidRDefault="0073383B" w:rsidP="00D024C8">
            <w:pPr>
              <w:pStyle w:val="Contedodatabela"/>
              <w:widowControl w:val="0"/>
              <w:jc w:val="center"/>
              <w:rPr>
                <w:rFonts w:ascii="Times New Roman" w:hAnsi="Times New Roman" w:cs="Times New Roman"/>
                <w:b/>
                <w:color w:val="808080" w:themeColor="background1" w:themeShade="80"/>
                <w:sz w:val="20"/>
                <w:szCs w:val="20"/>
              </w:rPr>
            </w:pPr>
            <w:r w:rsidRPr="0005176F">
              <w:rPr>
                <w:rFonts w:ascii="Times New Roman" w:hAnsi="Times New Roman" w:cs="Times New Roman"/>
                <w:b/>
                <w:color w:val="808080" w:themeColor="background1" w:themeShade="80"/>
                <w:sz w:val="20"/>
                <w:szCs w:val="20"/>
              </w:rPr>
              <w:t>SIM/NÃO/</w:t>
            </w:r>
          </w:p>
          <w:p w:rsidR="0073383B" w:rsidRPr="0005176F" w:rsidRDefault="0073383B" w:rsidP="00D024C8">
            <w:pPr>
              <w:pStyle w:val="Contedodatabela"/>
              <w:widowControl w:val="0"/>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color w:val="808080" w:themeColor="background1" w:themeShade="80"/>
                <w:sz w:val="20"/>
                <w:szCs w:val="20"/>
              </w:rPr>
              <w:t>PREJUDICADO</w:t>
            </w:r>
          </w:p>
        </w:tc>
        <w:tc>
          <w:tcPr>
            <w:tcW w:w="992" w:type="dxa"/>
            <w:tcBorders>
              <w:top w:val="single" w:sz="1" w:space="0" w:color="000000"/>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jc w:val="center"/>
              <w:rPr>
                <w:rFonts w:ascii="Times New Roman" w:hAnsi="Times New Roman" w:cs="Times New Roman"/>
                <w:color w:val="808080" w:themeColor="background1" w:themeShade="80"/>
                <w:sz w:val="20"/>
                <w:szCs w:val="20"/>
              </w:rPr>
            </w:pPr>
            <w:r w:rsidRPr="0005176F">
              <w:rPr>
                <w:rFonts w:ascii="Times New Roman" w:hAnsi="Times New Roman" w:cs="Times New Roman"/>
                <w:b/>
                <w:color w:val="808080" w:themeColor="background1" w:themeShade="80"/>
                <w:sz w:val="20"/>
                <w:szCs w:val="20"/>
              </w:rPr>
              <w:t>FLS.</w:t>
            </w: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a) Extensão do direito à participação àquele interessado ainda não cadastrado, que tenha atendido a todas as exigências para o cadastramento até o terceiro dia útil anterior à data do recebimento das </w:t>
            </w:r>
            <w:proofErr w:type="gramStart"/>
            <w:r w:rsidRPr="0005176F">
              <w:rPr>
                <w:rFonts w:ascii="Times New Roman" w:hAnsi="Times New Roman" w:cs="Times New Roman"/>
                <w:color w:val="808080" w:themeColor="background1" w:themeShade="80"/>
                <w:sz w:val="20"/>
                <w:szCs w:val="20"/>
              </w:rPr>
              <w:t>propostas</w:t>
            </w:r>
            <w:proofErr w:type="gramEnd"/>
            <w:r w:rsidRPr="0005176F">
              <w:rPr>
                <w:rFonts w:ascii="Times New Roman" w:hAnsi="Times New Roman" w:cs="Times New Roman"/>
                <w:color w:val="808080" w:themeColor="background1" w:themeShade="80"/>
                <w:sz w:val="20"/>
                <w:szCs w:val="20"/>
              </w:rPr>
              <w:t xml:space="preserve"> </w:t>
            </w:r>
          </w:p>
        </w:tc>
        <w:tc>
          <w:tcPr>
            <w:tcW w:w="3544"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22, §2º,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b) Exigência, dos interessados não cadastrados, somente daqueles documentos que comprovem habilitação compatível com o objeto da licitação, nos termos do edital e dos </w:t>
            </w:r>
            <w:proofErr w:type="spellStart"/>
            <w:r w:rsidRPr="0005176F">
              <w:rPr>
                <w:rFonts w:ascii="Times New Roman" w:hAnsi="Times New Roman" w:cs="Times New Roman"/>
                <w:color w:val="808080" w:themeColor="background1" w:themeShade="80"/>
                <w:sz w:val="20"/>
                <w:szCs w:val="20"/>
              </w:rPr>
              <w:t>arts</w:t>
            </w:r>
            <w:proofErr w:type="spellEnd"/>
            <w:r w:rsidRPr="0005176F">
              <w:rPr>
                <w:rFonts w:ascii="Times New Roman" w:hAnsi="Times New Roman" w:cs="Times New Roman"/>
                <w:color w:val="808080" w:themeColor="background1" w:themeShade="80"/>
                <w:sz w:val="20"/>
                <w:szCs w:val="20"/>
              </w:rPr>
              <w:t xml:space="preserve">. 27 a 31 da Lei Federal n. 8.666/93 </w:t>
            </w:r>
          </w:p>
        </w:tc>
        <w:tc>
          <w:tcPr>
            <w:tcW w:w="3544"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22, §9º, da Lei Federal n. 8.666/93</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c) Respeito aos prazos mínimos previstos no art. 21, §2º, da Lei n. 8.666/</w:t>
            </w:r>
            <w:proofErr w:type="gramStart"/>
            <w:r w:rsidRPr="0005176F">
              <w:rPr>
                <w:rFonts w:ascii="Times New Roman" w:hAnsi="Times New Roman" w:cs="Times New Roman"/>
                <w:color w:val="808080" w:themeColor="background1" w:themeShade="80"/>
                <w:sz w:val="20"/>
                <w:szCs w:val="20"/>
              </w:rPr>
              <w:t>93</w:t>
            </w:r>
            <w:proofErr w:type="gramEnd"/>
            <w:r w:rsidRPr="0005176F">
              <w:rPr>
                <w:rFonts w:ascii="Times New Roman" w:hAnsi="Times New Roman" w:cs="Times New Roman"/>
                <w:color w:val="808080" w:themeColor="background1" w:themeShade="80"/>
                <w:sz w:val="20"/>
                <w:szCs w:val="20"/>
              </w:rPr>
              <w:t xml:space="preserve"> </w:t>
            </w:r>
          </w:p>
        </w:tc>
        <w:tc>
          <w:tcPr>
            <w:tcW w:w="3544"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Na Tomada de Preços, quando a licitação for do tipo “melhor técnica” ou “técnica e preço”, deve ser respeitado o prazo de 30 (trinta) dias. Nos demais casos, o prazo é de 15 (quinze) </w:t>
            </w:r>
            <w:proofErr w:type="gramStart"/>
            <w:r w:rsidRPr="0005176F">
              <w:rPr>
                <w:rFonts w:ascii="Times New Roman" w:hAnsi="Times New Roman" w:cs="Times New Roman"/>
                <w:color w:val="808080" w:themeColor="background1" w:themeShade="80"/>
                <w:sz w:val="20"/>
                <w:szCs w:val="20"/>
              </w:rPr>
              <w:t>dias</w:t>
            </w:r>
            <w:proofErr w:type="gramEnd"/>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d) Realização de habilitação preliminar, inscrição em registro cadastral e sua alteração ou cancelamento em conformidade ao procedimento estabelecido no art. 51, da Lei Federal n. 8.666/</w:t>
            </w:r>
            <w:proofErr w:type="gramStart"/>
            <w:r w:rsidRPr="0005176F">
              <w:rPr>
                <w:rFonts w:ascii="Times New Roman" w:hAnsi="Times New Roman" w:cs="Times New Roman"/>
                <w:color w:val="808080" w:themeColor="background1" w:themeShade="80"/>
                <w:sz w:val="20"/>
                <w:szCs w:val="20"/>
              </w:rPr>
              <w:t>93</w:t>
            </w:r>
            <w:proofErr w:type="gramEnd"/>
          </w:p>
        </w:tc>
        <w:tc>
          <w:tcPr>
            <w:tcW w:w="3544"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e) Classificação e julgamento das propostas apresentadas atendendo ao disposto no art. 43, §4º, da Lei Federal n. 8.666/93:</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highlight w:val="white"/>
              </w:rPr>
              <w:t>abertura</w:t>
            </w:r>
            <w:proofErr w:type="gramEnd"/>
            <w:r w:rsidRPr="0005176F">
              <w:rPr>
                <w:rFonts w:ascii="Times New Roman" w:hAnsi="Times New Roman" w:cs="Times New Roman"/>
                <w:color w:val="808080" w:themeColor="background1" w:themeShade="80"/>
                <w:sz w:val="20"/>
                <w:szCs w:val="20"/>
                <w:highlight w:val="white"/>
              </w:rPr>
              <w:t xml:space="preserve"> dos envelopes contendo a documentação para habilitação e as propostas realizada em ato público previamente designado, lavrando-se ata circunstanciada, assinada pelos licitantes presentes e pela Comissão;</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highlight w:val="white"/>
              </w:rPr>
              <w:t>verificação</w:t>
            </w:r>
            <w:proofErr w:type="gramEnd"/>
            <w:r w:rsidRPr="0005176F">
              <w:rPr>
                <w:rFonts w:ascii="Times New Roman" w:hAnsi="Times New Roman" w:cs="Times New Roman"/>
                <w:color w:val="808080" w:themeColor="background1" w:themeShade="80"/>
                <w:sz w:val="20"/>
                <w:szCs w:val="20"/>
                <w:highlight w:val="white"/>
              </w:rPr>
              <w:t xml:space="preserve"> da conformidade de cada proposta com os requisitos do edital e, conforme o caso, com os preços correntes no mercado ou fixados por órgão oficial competente, ou ainda com os constantes do sistema de registro de preços, os quais deverão ser devidamente registrados na ata de julgamento, promovendo-se a desclassificação das propostas desconformes ou incompatíveis;</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análise</w:t>
            </w:r>
            <w:proofErr w:type="gramEnd"/>
            <w:r w:rsidRPr="0005176F">
              <w:rPr>
                <w:rFonts w:ascii="Times New Roman" w:hAnsi="Times New Roman" w:cs="Times New Roman"/>
                <w:color w:val="808080" w:themeColor="background1" w:themeShade="80"/>
                <w:sz w:val="20"/>
                <w:szCs w:val="20"/>
              </w:rPr>
              <w:t xml:space="preserve"> da conformidade das propostas com os valores limites de tolerância do Banco Referencial de Preços do SIMAS;</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uma</w:t>
            </w:r>
            <w:proofErr w:type="gramEnd"/>
            <w:r w:rsidRPr="0005176F">
              <w:rPr>
                <w:rFonts w:ascii="Times New Roman" w:hAnsi="Times New Roman" w:cs="Times New Roman"/>
                <w:color w:val="808080" w:themeColor="background1" w:themeShade="80"/>
                <w:sz w:val="20"/>
                <w:szCs w:val="20"/>
              </w:rPr>
              <w:t xml:space="preserve"> vez ultrapassado o limite referido no item anterior, o agente responsável pela condução do certame deve justificar expressamente o fato;</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w:t>
            </w:r>
            <w:proofErr w:type="gramEnd"/>
            <w:r w:rsidRPr="0005176F">
              <w:rPr>
                <w:rFonts w:ascii="Times New Roman" w:hAnsi="Times New Roman" w:cs="Times New Roman"/>
                <w:color w:val="808080" w:themeColor="background1" w:themeShade="80"/>
                <w:sz w:val="20"/>
                <w:szCs w:val="20"/>
              </w:rPr>
              <w:t xml:space="preserve"> autoridade ordenadora de despesa deve ratificar o despacho justificativo do agente responsável pela condução do </w:t>
            </w:r>
            <w:r w:rsidRPr="0005176F">
              <w:rPr>
                <w:rFonts w:ascii="Times New Roman" w:hAnsi="Times New Roman" w:cs="Times New Roman"/>
                <w:color w:val="808080" w:themeColor="background1" w:themeShade="80"/>
                <w:sz w:val="20"/>
                <w:szCs w:val="20"/>
              </w:rPr>
              <w:lastRenderedPageBreak/>
              <w:t>certame antes de submeter a questão à análise da SEAD para obter o eventual desbloqueio dos Pedidos de Realização de Despesas;</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quando</w:t>
            </w:r>
            <w:proofErr w:type="gramEnd"/>
            <w:r w:rsidRPr="0005176F">
              <w:rPr>
                <w:rFonts w:ascii="Times New Roman" w:hAnsi="Times New Roman" w:cs="Times New Roman"/>
                <w:color w:val="808080" w:themeColor="background1" w:themeShade="80"/>
                <w:sz w:val="20"/>
                <w:szCs w:val="20"/>
              </w:rPr>
              <w:t xml:space="preserve"> do julgamento das propostas devem ser utilizados somente os critérios objetivos previstos no Edital; e</w:t>
            </w:r>
          </w:p>
          <w:p w:rsidR="0073383B" w:rsidRPr="0005176F" w:rsidRDefault="0073383B" w:rsidP="0073383B">
            <w:pPr>
              <w:widowControl w:val="0"/>
              <w:numPr>
                <w:ilvl w:val="0"/>
                <w:numId w:val="7"/>
              </w:numPr>
              <w:suppressAutoHyphens/>
              <w:spacing w:after="0" w:line="240" w:lineRule="auto"/>
              <w:ind w:left="0" w:firstLine="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obedecer</w:t>
            </w:r>
            <w:proofErr w:type="gramEnd"/>
            <w:r w:rsidRPr="0005176F">
              <w:rPr>
                <w:rFonts w:ascii="Times New Roman" w:hAnsi="Times New Roman" w:cs="Times New Roman"/>
                <w:color w:val="808080" w:themeColor="background1" w:themeShade="80"/>
                <w:sz w:val="20"/>
                <w:szCs w:val="20"/>
              </w:rPr>
              <w:t xml:space="preserve"> os critérios de classificação e seleção previstos na Lei 8.666/93 em conformidade com o específico tipo de licitação previsto em conformidade com o edital do certame</w:t>
            </w:r>
          </w:p>
        </w:tc>
        <w:tc>
          <w:tcPr>
            <w:tcW w:w="3544"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spellStart"/>
            <w:proofErr w:type="gramStart"/>
            <w:r w:rsidRPr="0005176F">
              <w:rPr>
                <w:rFonts w:ascii="Times New Roman" w:hAnsi="Times New Roman" w:cs="Times New Roman"/>
                <w:color w:val="808080" w:themeColor="background1" w:themeShade="80"/>
                <w:sz w:val="20"/>
                <w:szCs w:val="20"/>
                <w:highlight w:val="white"/>
              </w:rPr>
              <w:lastRenderedPageBreak/>
              <w:t>arts</w:t>
            </w:r>
            <w:proofErr w:type="spellEnd"/>
            <w:proofErr w:type="gramEnd"/>
            <w:r w:rsidRPr="0005176F">
              <w:rPr>
                <w:rFonts w:ascii="Times New Roman" w:hAnsi="Times New Roman" w:cs="Times New Roman"/>
                <w:color w:val="808080" w:themeColor="background1" w:themeShade="80"/>
                <w:sz w:val="20"/>
                <w:szCs w:val="20"/>
                <w:highlight w:val="white"/>
              </w:rPr>
              <w:t xml:space="preserve">. 43, §1º, 45 e 46 da Lei Federal n. 8.666/93 e Instrução Normativa/SEAD n. </w:t>
            </w:r>
            <w:proofErr w:type="gramStart"/>
            <w:r w:rsidRPr="0005176F">
              <w:rPr>
                <w:rFonts w:ascii="Times New Roman" w:hAnsi="Times New Roman" w:cs="Times New Roman"/>
                <w:color w:val="808080" w:themeColor="background1" w:themeShade="80"/>
                <w:sz w:val="20"/>
                <w:szCs w:val="20"/>
                <w:highlight w:val="white"/>
              </w:rPr>
              <w:t>003/2018</w:t>
            </w:r>
            <w:proofErr w:type="gramEnd"/>
          </w:p>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lastRenderedPageBreak/>
              <w:t>f) Análise do procedimento licitatório pela assessoria jurídica</w:t>
            </w:r>
          </w:p>
        </w:tc>
        <w:tc>
          <w:tcPr>
            <w:tcW w:w="3544"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g) Homologação do certame pela autoridade superior</w:t>
            </w:r>
          </w:p>
        </w:tc>
        <w:tc>
          <w:tcPr>
            <w:tcW w:w="3544"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h) Adjudicação do objeto ao vencedor, com a consequente assinatura do </w:t>
            </w:r>
            <w:proofErr w:type="gramStart"/>
            <w:r w:rsidRPr="0005176F">
              <w:rPr>
                <w:rFonts w:ascii="Times New Roman" w:hAnsi="Times New Roman" w:cs="Times New Roman"/>
                <w:color w:val="808080" w:themeColor="background1" w:themeShade="80"/>
                <w:sz w:val="20"/>
                <w:szCs w:val="20"/>
              </w:rPr>
              <w:t>contrato</w:t>
            </w:r>
            <w:proofErr w:type="gramEnd"/>
          </w:p>
        </w:tc>
        <w:tc>
          <w:tcPr>
            <w:tcW w:w="3544"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snapToGrid w:val="0"/>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i) Publicação do extrato do contrato, no prazo de 10 dias de sua </w:t>
            </w:r>
            <w:proofErr w:type="gramStart"/>
            <w:r w:rsidRPr="0005176F">
              <w:rPr>
                <w:rFonts w:ascii="Times New Roman" w:hAnsi="Times New Roman" w:cs="Times New Roman"/>
                <w:color w:val="808080" w:themeColor="background1" w:themeShade="80"/>
                <w:sz w:val="20"/>
                <w:szCs w:val="20"/>
              </w:rPr>
              <w:t>assinatura</w:t>
            </w:r>
            <w:proofErr w:type="gramEnd"/>
          </w:p>
        </w:tc>
        <w:tc>
          <w:tcPr>
            <w:tcW w:w="3544"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28, §5º da Constituição Estadual</w:t>
            </w:r>
          </w:p>
        </w:tc>
        <w:tc>
          <w:tcPr>
            <w:tcW w:w="1701" w:type="dxa"/>
            <w:tcBorders>
              <w:left w:val="single" w:sz="1" w:space="0" w:color="000000"/>
              <w:bottom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widowControl w:val="0"/>
              <w:snapToGrid w:val="0"/>
              <w:spacing w:after="0" w:line="240" w:lineRule="auto"/>
              <w:jc w:val="both"/>
              <w:rPr>
                <w:rFonts w:ascii="Times New Roman" w:hAnsi="Times New Roman" w:cs="Times New Roman"/>
                <w:color w:val="808080" w:themeColor="background1" w:themeShade="80"/>
                <w:sz w:val="20"/>
                <w:szCs w:val="20"/>
              </w:rPr>
            </w:pPr>
          </w:p>
        </w:tc>
      </w:tr>
      <w:tr w:rsidR="0073383B" w:rsidRPr="0021236F" w:rsidTr="00B03D4B">
        <w:tc>
          <w:tcPr>
            <w:tcW w:w="3686" w:type="dxa"/>
            <w:tcBorders>
              <w:left w:val="single" w:sz="1" w:space="0" w:color="000000"/>
              <w:bottom w:val="single" w:sz="1" w:space="0" w:color="000000"/>
            </w:tcBorders>
            <w:shd w:val="clear" w:color="auto" w:fill="auto"/>
          </w:tcPr>
          <w:p w:rsidR="0073383B" w:rsidRPr="0005176F" w:rsidRDefault="0073383B" w:rsidP="00D024C8">
            <w:pPr>
              <w:widowControl w:val="0"/>
              <w:spacing w:after="0" w:line="240" w:lineRule="auto"/>
              <w:jc w:val="both"/>
              <w:rPr>
                <w:rFonts w:ascii="Times New Roman" w:hAnsi="Times New Roman" w:cs="Times New Roman"/>
                <w:color w:val="808080" w:themeColor="background1" w:themeShade="80"/>
                <w:sz w:val="20"/>
                <w:szCs w:val="20"/>
              </w:rPr>
            </w:pPr>
            <w:r w:rsidRPr="0005176F">
              <w:rPr>
                <w:rFonts w:ascii="Times New Roman" w:hAnsi="Times New Roman" w:cs="Times New Roman"/>
                <w:color w:val="808080" w:themeColor="background1" w:themeShade="80"/>
                <w:sz w:val="20"/>
                <w:szCs w:val="20"/>
              </w:rPr>
              <w:t xml:space="preserve">j) Disponibilização, no portal </w:t>
            </w:r>
            <w:proofErr w:type="spellStart"/>
            <w:proofErr w:type="gramStart"/>
            <w:r w:rsidRPr="0005176F">
              <w:rPr>
                <w:rFonts w:ascii="Times New Roman" w:hAnsi="Times New Roman" w:cs="Times New Roman"/>
                <w:color w:val="808080" w:themeColor="background1" w:themeShade="80"/>
                <w:sz w:val="20"/>
                <w:szCs w:val="20"/>
              </w:rPr>
              <w:t>ComprasPará</w:t>
            </w:r>
            <w:proofErr w:type="spellEnd"/>
            <w:proofErr w:type="gramEnd"/>
            <w:r w:rsidRPr="0005176F">
              <w:rPr>
                <w:rFonts w:ascii="Times New Roman" w:hAnsi="Times New Roman" w:cs="Times New Roman"/>
                <w:color w:val="808080" w:themeColor="background1" w:themeShade="80"/>
                <w:sz w:val="20"/>
                <w:szCs w:val="20"/>
              </w:rPr>
              <w:t>, de todas as informações referentes ao procedimento licitatório, conforme exigido pelo Decreto Estadual 2.313/2018</w:t>
            </w:r>
          </w:p>
        </w:tc>
        <w:tc>
          <w:tcPr>
            <w:tcW w:w="3544"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jc w:val="both"/>
              <w:rPr>
                <w:rFonts w:ascii="Times New Roman" w:hAnsi="Times New Roman" w:cs="Times New Roman"/>
                <w:color w:val="808080" w:themeColor="background1" w:themeShade="80"/>
                <w:sz w:val="20"/>
                <w:szCs w:val="20"/>
              </w:rPr>
            </w:pPr>
            <w:proofErr w:type="gramStart"/>
            <w:r w:rsidRPr="0005176F">
              <w:rPr>
                <w:rFonts w:ascii="Times New Roman" w:hAnsi="Times New Roman" w:cs="Times New Roman"/>
                <w:color w:val="808080" w:themeColor="background1" w:themeShade="80"/>
                <w:sz w:val="20"/>
                <w:szCs w:val="20"/>
              </w:rPr>
              <w:t>art.</w:t>
            </w:r>
            <w:proofErr w:type="gramEnd"/>
            <w:r w:rsidRPr="0005176F">
              <w:rPr>
                <w:rFonts w:ascii="Times New Roman" w:hAnsi="Times New Roman" w:cs="Times New Roman"/>
                <w:color w:val="808080" w:themeColor="background1" w:themeShade="80"/>
                <w:sz w:val="20"/>
                <w:szCs w:val="20"/>
              </w:rPr>
              <w:t xml:space="preserve"> 2</w:t>
            </w:r>
            <w:r w:rsidRPr="0005176F">
              <w:rPr>
                <w:rFonts w:ascii="Times New Roman" w:hAnsi="Times New Roman" w:cs="Times New Roman"/>
                <w:color w:val="808080" w:themeColor="background1" w:themeShade="80"/>
                <w:sz w:val="20"/>
                <w:szCs w:val="20"/>
                <w:vertAlign w:val="superscript"/>
              </w:rPr>
              <w:t xml:space="preserve">o </w:t>
            </w:r>
            <w:r w:rsidRPr="0005176F">
              <w:rPr>
                <w:rFonts w:ascii="Times New Roman" w:hAnsi="Times New Roman" w:cs="Times New Roman"/>
                <w:color w:val="808080" w:themeColor="background1" w:themeShade="80"/>
                <w:sz w:val="20"/>
                <w:szCs w:val="20"/>
              </w:rPr>
              <w:t xml:space="preserve">do Decreto Estadual 2.313/2018 </w:t>
            </w:r>
          </w:p>
        </w:tc>
        <w:tc>
          <w:tcPr>
            <w:tcW w:w="1701" w:type="dxa"/>
            <w:tcBorders>
              <w:left w:val="single" w:sz="1" w:space="0" w:color="000000"/>
              <w:bottom w:val="single" w:sz="1" w:space="0" w:color="000000"/>
            </w:tcBorders>
            <w:shd w:val="clear" w:color="auto" w:fill="auto"/>
          </w:tcPr>
          <w:p w:rsidR="0073383B" w:rsidRPr="0005176F" w:rsidRDefault="0073383B" w:rsidP="00D024C8">
            <w:pPr>
              <w:pStyle w:val="Contedodatabela"/>
              <w:widowControl w:val="0"/>
              <w:jc w:val="both"/>
              <w:rPr>
                <w:rFonts w:ascii="Times New Roman" w:hAnsi="Times New Roman" w:cs="Times New Roman"/>
                <w:color w:val="808080" w:themeColor="background1" w:themeShade="80"/>
                <w:sz w:val="20"/>
                <w:szCs w:val="20"/>
              </w:rPr>
            </w:pPr>
          </w:p>
        </w:tc>
        <w:tc>
          <w:tcPr>
            <w:tcW w:w="992" w:type="dxa"/>
            <w:tcBorders>
              <w:left w:val="single" w:sz="1" w:space="0" w:color="000000"/>
              <w:bottom w:val="single" w:sz="1" w:space="0" w:color="000000"/>
              <w:right w:val="single" w:sz="1" w:space="0" w:color="000000"/>
            </w:tcBorders>
            <w:shd w:val="clear" w:color="auto" w:fill="auto"/>
          </w:tcPr>
          <w:p w:rsidR="0073383B" w:rsidRPr="0005176F" w:rsidRDefault="0073383B" w:rsidP="00D024C8">
            <w:pPr>
              <w:pStyle w:val="Contedodatabela"/>
              <w:widowControl w:val="0"/>
              <w:jc w:val="both"/>
              <w:rPr>
                <w:rFonts w:ascii="Times New Roman" w:hAnsi="Times New Roman" w:cs="Times New Roman"/>
                <w:color w:val="808080" w:themeColor="background1" w:themeShade="80"/>
                <w:sz w:val="20"/>
                <w:szCs w:val="20"/>
              </w:rPr>
            </w:pPr>
          </w:p>
        </w:tc>
      </w:tr>
    </w:tbl>
    <w:p w:rsidR="0073383B" w:rsidRDefault="0073383B" w:rsidP="0073383B">
      <w:pPr>
        <w:widowControl w:val="0"/>
        <w:spacing w:after="0" w:line="240" w:lineRule="auto"/>
        <w:jc w:val="both"/>
        <w:rPr>
          <w:rFonts w:ascii="Times New Roman" w:hAnsi="Times New Roman" w:cs="Times New Roman"/>
          <w:b/>
          <w:bCs/>
          <w:color w:val="808080" w:themeColor="background1" w:themeShade="80"/>
        </w:rPr>
      </w:pPr>
    </w:p>
    <w:p w:rsidR="00D549FA" w:rsidRPr="0073383B" w:rsidRDefault="00D549FA" w:rsidP="0073383B"/>
    <w:sectPr w:rsidR="00D549FA" w:rsidRPr="0073383B" w:rsidSect="007C24B5">
      <w:headerReference w:type="default" r:id="rId8"/>
      <w:footerReference w:type="default" r:id="rId9"/>
      <w:pgSz w:w="11906" w:h="16838"/>
      <w:pgMar w:top="1985" w:right="42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B8" w:rsidRDefault="005C12B8" w:rsidP="009C5F18">
      <w:pPr>
        <w:spacing w:after="0" w:line="240" w:lineRule="auto"/>
      </w:pPr>
      <w:r>
        <w:separator/>
      </w:r>
    </w:p>
  </w:endnote>
  <w:endnote w:type="continuationSeparator" w:id="0">
    <w:p w:rsidR="005C12B8" w:rsidRDefault="005C12B8" w:rsidP="009C5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variable"/>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28" w:rsidRPr="009C5F18" w:rsidRDefault="00C96D28" w:rsidP="009C5F18">
    <w:pPr>
      <w:pStyle w:val="Rodap"/>
      <w:widowControl w:val="0"/>
      <w:jc w:val="center"/>
      <w:rPr>
        <w:rFonts w:ascii="Times New Roman" w:hAnsi="Times New Roman" w:cs="Times New Roman"/>
        <w:sz w:val="20"/>
        <w:szCs w:val="20"/>
      </w:rPr>
    </w:pPr>
    <w:r w:rsidRPr="009C5F18">
      <w:rPr>
        <w:rFonts w:ascii="Times New Roman" w:hAnsi="Times New Roman" w:cs="Times New Roman"/>
        <w:sz w:val="20"/>
        <w:szCs w:val="20"/>
      </w:rPr>
      <w:t>Rua dos Tamoios, 1671, Batista Campos, Belém-</w:t>
    </w:r>
    <w:proofErr w:type="gramStart"/>
    <w:r w:rsidRPr="009C5F18">
      <w:rPr>
        <w:rFonts w:ascii="Times New Roman" w:hAnsi="Times New Roman" w:cs="Times New Roman"/>
        <w:sz w:val="20"/>
        <w:szCs w:val="20"/>
      </w:rPr>
      <w:t>PA</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B8" w:rsidRDefault="005C12B8" w:rsidP="009C5F18">
      <w:pPr>
        <w:spacing w:after="0" w:line="240" w:lineRule="auto"/>
      </w:pPr>
      <w:r>
        <w:separator/>
      </w:r>
    </w:p>
  </w:footnote>
  <w:footnote w:type="continuationSeparator" w:id="0">
    <w:p w:rsidR="005C12B8" w:rsidRDefault="005C12B8" w:rsidP="009C5F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D28" w:rsidRDefault="00C96D28" w:rsidP="009C5F18">
    <w:pPr>
      <w:pStyle w:val="NormalWeb"/>
      <w:widowControl w:val="0"/>
      <w:spacing w:before="0" w:beforeAutospacing="0" w:after="0" w:line="240" w:lineRule="auto"/>
      <w:jc w:val="center"/>
      <w:rPr>
        <w:rFonts w:ascii="Arial" w:hAnsi="Arial" w:cs="Arial"/>
        <w:b/>
        <w:bCs/>
        <w:sz w:val="20"/>
        <w:szCs w:val="20"/>
      </w:rPr>
    </w:pPr>
    <w:r>
      <w:rPr>
        <w:rFonts w:ascii="Arial" w:hAnsi="Arial" w:cs="Arial"/>
        <w:b/>
        <w:bCs/>
        <w:noProof/>
        <w:sz w:val="20"/>
        <w:szCs w:val="20"/>
      </w:rPr>
      <w:drawing>
        <wp:anchor distT="0" distB="0" distL="114300" distR="114300" simplePos="0" relativeHeight="251659264" behindDoc="0" locked="0" layoutInCell="1" allowOverlap="1" wp14:anchorId="5100836F" wp14:editId="1BBF2453">
          <wp:simplePos x="0" y="0"/>
          <wp:positionH relativeFrom="column">
            <wp:posOffset>2971743</wp:posOffset>
          </wp:positionH>
          <wp:positionV relativeFrom="paragraph">
            <wp:posOffset>-393700</wp:posOffset>
          </wp:positionV>
          <wp:extent cx="640080" cy="803910"/>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 P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 cy="803910"/>
                  </a:xfrm>
                  <a:prstGeom prst="rect">
                    <a:avLst/>
                  </a:prstGeom>
                </pic:spPr>
              </pic:pic>
            </a:graphicData>
          </a:graphic>
          <wp14:sizeRelH relativeFrom="page">
            <wp14:pctWidth>0</wp14:pctWidth>
          </wp14:sizeRelH>
          <wp14:sizeRelV relativeFrom="page">
            <wp14:pctHeight>0</wp14:pctHeight>
          </wp14:sizeRelV>
        </wp:anchor>
      </w:drawing>
    </w:r>
  </w:p>
  <w:p w:rsidR="00C96D28" w:rsidRDefault="00C96D28" w:rsidP="009C5F18">
    <w:pPr>
      <w:pStyle w:val="NormalWeb"/>
      <w:widowControl w:val="0"/>
      <w:spacing w:before="0" w:beforeAutospacing="0" w:after="0" w:line="240" w:lineRule="auto"/>
      <w:jc w:val="center"/>
      <w:rPr>
        <w:rFonts w:ascii="Arial" w:hAnsi="Arial" w:cs="Arial"/>
        <w:b/>
        <w:bCs/>
        <w:sz w:val="20"/>
        <w:szCs w:val="20"/>
      </w:rPr>
    </w:pPr>
  </w:p>
  <w:p w:rsidR="00C96D28" w:rsidRDefault="00C96D28" w:rsidP="009C5F18">
    <w:pPr>
      <w:pStyle w:val="NormalWeb"/>
      <w:widowControl w:val="0"/>
      <w:spacing w:before="0" w:beforeAutospacing="0" w:after="0" w:line="240" w:lineRule="auto"/>
      <w:jc w:val="center"/>
      <w:rPr>
        <w:rFonts w:ascii="Arial" w:hAnsi="Arial" w:cs="Arial"/>
        <w:b/>
        <w:bCs/>
        <w:sz w:val="20"/>
        <w:szCs w:val="20"/>
      </w:rPr>
    </w:pPr>
  </w:p>
  <w:p w:rsidR="00C96D28" w:rsidRPr="009C5F18" w:rsidRDefault="00C96D28" w:rsidP="009C5F18">
    <w:pPr>
      <w:pStyle w:val="NormalWeb"/>
      <w:widowControl w:val="0"/>
      <w:spacing w:before="0" w:beforeAutospacing="0" w:after="0" w:line="240" w:lineRule="auto"/>
      <w:jc w:val="center"/>
      <w:rPr>
        <w:b/>
        <w:bCs/>
        <w:sz w:val="20"/>
        <w:szCs w:val="20"/>
      </w:rPr>
    </w:pPr>
    <w:r w:rsidRPr="009C5F18">
      <w:rPr>
        <w:b/>
        <w:bCs/>
        <w:sz w:val="20"/>
        <w:szCs w:val="20"/>
      </w:rPr>
      <w:t>GOVERNO DO ESTADO DO PARÁ</w:t>
    </w:r>
  </w:p>
  <w:p w:rsidR="00C96D28" w:rsidRPr="009C5F18" w:rsidRDefault="00C96D28" w:rsidP="009C5F18">
    <w:pPr>
      <w:pStyle w:val="NormalWeb"/>
      <w:widowControl w:val="0"/>
      <w:spacing w:before="0" w:beforeAutospacing="0" w:after="0" w:line="240" w:lineRule="auto"/>
      <w:jc w:val="center"/>
    </w:pPr>
    <w:r w:rsidRPr="009C5F18">
      <w:rPr>
        <w:b/>
        <w:bCs/>
        <w:sz w:val="20"/>
        <w:szCs w:val="20"/>
      </w:rPr>
      <w:t>PROCURADORIA-GERAL DO ESTADO</w:t>
    </w:r>
  </w:p>
  <w:p w:rsidR="00C96D28" w:rsidRPr="009C5F18" w:rsidRDefault="00C96D28" w:rsidP="009C5F18">
    <w:pPr>
      <w:pStyle w:val="NormalWeb"/>
      <w:widowControl w:val="0"/>
      <w:spacing w:before="0" w:beforeAutospacing="0" w:after="0" w:line="240" w:lineRule="auto"/>
      <w:jc w:val="center"/>
      <w:rPr>
        <w:b/>
        <w:b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0"/>
        </w:tabs>
        <w:ind w:left="1121" w:hanging="360"/>
      </w:pPr>
    </w:lvl>
  </w:abstractNum>
  <w:abstractNum w:abstractNumId="1">
    <w:nsid w:val="00000004"/>
    <w:multiLevelType w:val="singleLevel"/>
    <w:tmpl w:val="00000004"/>
    <w:name w:val="WW8Num7"/>
    <w:lvl w:ilvl="0">
      <w:start w:val="1"/>
      <w:numFmt w:val="lowerLetter"/>
      <w:lvlText w:val="(%1)"/>
      <w:lvlJc w:val="left"/>
      <w:pPr>
        <w:tabs>
          <w:tab w:val="num" w:pos="0"/>
        </w:tabs>
        <w:ind w:left="720" w:hanging="360"/>
      </w:pPr>
      <w:rPr>
        <w:rFonts w:hint="default"/>
      </w:rPr>
    </w:lvl>
  </w:abstractNum>
  <w:abstractNum w:abstractNumId="2">
    <w:nsid w:val="00000005"/>
    <w:multiLevelType w:val="singleLevel"/>
    <w:tmpl w:val="00000005"/>
    <w:name w:val="WW8Num9"/>
    <w:lvl w:ilvl="0">
      <w:start w:val="1"/>
      <w:numFmt w:val="lowerLetter"/>
      <w:lvlText w:val="(%1)"/>
      <w:lvlJc w:val="left"/>
      <w:pPr>
        <w:tabs>
          <w:tab w:val="num" w:pos="0"/>
        </w:tabs>
        <w:ind w:left="840" w:hanging="480"/>
      </w:pPr>
      <w:rPr>
        <w:rFonts w:ascii="Times New Roman" w:hAnsi="Times New Roman" w:cs="Times New Roman" w:hint="default"/>
      </w:rPr>
    </w:lvl>
  </w:abstractNum>
  <w:abstractNum w:abstractNumId="3">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8"/>
    <w:multiLevelType w:val="multilevel"/>
    <w:tmpl w:val="0000000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7149589F"/>
    <w:multiLevelType w:val="multilevel"/>
    <w:tmpl w:val="054A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AA"/>
    <w:rsid w:val="000D75EE"/>
    <w:rsid w:val="001030C3"/>
    <w:rsid w:val="0018232E"/>
    <w:rsid w:val="002208BD"/>
    <w:rsid w:val="00334E28"/>
    <w:rsid w:val="0034523A"/>
    <w:rsid w:val="004543EF"/>
    <w:rsid w:val="00463941"/>
    <w:rsid w:val="004831F9"/>
    <w:rsid w:val="004835E3"/>
    <w:rsid w:val="004C2EE9"/>
    <w:rsid w:val="004F0878"/>
    <w:rsid w:val="00560082"/>
    <w:rsid w:val="00564C86"/>
    <w:rsid w:val="005B1CF0"/>
    <w:rsid w:val="005C12B8"/>
    <w:rsid w:val="005F5FAA"/>
    <w:rsid w:val="00672B66"/>
    <w:rsid w:val="006A4DDF"/>
    <w:rsid w:val="006B1667"/>
    <w:rsid w:val="006B5DE1"/>
    <w:rsid w:val="006D1800"/>
    <w:rsid w:val="00720D8F"/>
    <w:rsid w:val="0073383B"/>
    <w:rsid w:val="00763806"/>
    <w:rsid w:val="00766A5D"/>
    <w:rsid w:val="007C24B5"/>
    <w:rsid w:val="008E70BF"/>
    <w:rsid w:val="009B406D"/>
    <w:rsid w:val="009C5F18"/>
    <w:rsid w:val="009D46ED"/>
    <w:rsid w:val="00A00212"/>
    <w:rsid w:val="00A016E3"/>
    <w:rsid w:val="00A06BE9"/>
    <w:rsid w:val="00A71A3B"/>
    <w:rsid w:val="00B03D4B"/>
    <w:rsid w:val="00B7085E"/>
    <w:rsid w:val="00BE4DD7"/>
    <w:rsid w:val="00C0053A"/>
    <w:rsid w:val="00C96D28"/>
    <w:rsid w:val="00CD544B"/>
    <w:rsid w:val="00D549FA"/>
    <w:rsid w:val="00E147E7"/>
    <w:rsid w:val="00E3254E"/>
    <w:rsid w:val="00E91DDA"/>
    <w:rsid w:val="00EF215C"/>
    <w:rsid w:val="00F111A1"/>
    <w:rsid w:val="00F67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B5"/>
    <w:pPr>
      <w:spacing w:after="160" w:line="264" w:lineRule="auto"/>
    </w:pPr>
    <w:rPr>
      <w:sz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5FAA"/>
    <w:pPr>
      <w:spacing w:before="100" w:beforeAutospacing="1" w:after="142" w:line="288"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B5D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5DE1"/>
    <w:rPr>
      <w:rFonts w:ascii="Tahoma" w:hAnsi="Tahoma" w:cs="Tahoma"/>
      <w:sz w:val="16"/>
      <w:szCs w:val="16"/>
    </w:rPr>
  </w:style>
  <w:style w:type="paragraph" w:styleId="Cabealho">
    <w:name w:val="header"/>
    <w:basedOn w:val="Normal"/>
    <w:link w:val="CabealhoChar"/>
    <w:uiPriority w:val="99"/>
    <w:unhideWhenUsed/>
    <w:rsid w:val="009C5F18"/>
    <w:pPr>
      <w:tabs>
        <w:tab w:val="center" w:pos="4252"/>
        <w:tab w:val="right" w:pos="8504"/>
      </w:tabs>
      <w:spacing w:after="0" w:line="240" w:lineRule="auto"/>
    </w:pPr>
    <w:rPr>
      <w:sz w:val="22"/>
      <w:lang w:eastAsia="en-US"/>
    </w:rPr>
  </w:style>
  <w:style w:type="character" w:customStyle="1" w:styleId="CabealhoChar">
    <w:name w:val="Cabeçalho Char"/>
    <w:basedOn w:val="Fontepargpadro"/>
    <w:link w:val="Cabealho"/>
    <w:uiPriority w:val="99"/>
    <w:rsid w:val="009C5F18"/>
  </w:style>
  <w:style w:type="paragraph" w:styleId="Rodap">
    <w:name w:val="footer"/>
    <w:basedOn w:val="Normal"/>
    <w:link w:val="RodapChar"/>
    <w:uiPriority w:val="99"/>
    <w:unhideWhenUsed/>
    <w:rsid w:val="009C5F18"/>
    <w:pPr>
      <w:tabs>
        <w:tab w:val="center" w:pos="4252"/>
        <w:tab w:val="right" w:pos="8504"/>
      </w:tabs>
      <w:spacing w:after="0" w:line="240" w:lineRule="auto"/>
    </w:pPr>
    <w:rPr>
      <w:sz w:val="22"/>
      <w:lang w:eastAsia="en-US"/>
    </w:rPr>
  </w:style>
  <w:style w:type="character" w:customStyle="1" w:styleId="RodapChar">
    <w:name w:val="Rodapé Char"/>
    <w:basedOn w:val="Fontepargpadro"/>
    <w:link w:val="Rodap"/>
    <w:uiPriority w:val="99"/>
    <w:rsid w:val="009C5F18"/>
  </w:style>
  <w:style w:type="paragraph" w:customStyle="1" w:styleId="Contedodatabela">
    <w:name w:val="Conteúdo da tabela"/>
    <w:basedOn w:val="Normal"/>
    <w:rsid w:val="007C24B5"/>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Corpodetexto22">
    <w:name w:val="Corpo de texto 22"/>
    <w:basedOn w:val="Normal"/>
    <w:rsid w:val="007C24B5"/>
    <w:pPr>
      <w:suppressAutoHyphens/>
      <w:spacing w:after="120" w:line="480" w:lineRule="auto"/>
    </w:pPr>
    <w:rPr>
      <w:rFonts w:ascii="Liberation Serif" w:eastAsia="SimSun" w:hAnsi="Liberation Serif" w:cs="Lucida Sans"/>
      <w:kern w:val="1"/>
      <w:sz w:val="24"/>
      <w:szCs w:val="21"/>
      <w:lang w:eastAsia="zh-CN" w:bidi="hi-IN"/>
    </w:rPr>
  </w:style>
  <w:style w:type="character" w:styleId="nfase">
    <w:name w:val="Emphasis"/>
    <w:basedOn w:val="Fontepargpadro"/>
    <w:qFormat/>
    <w:rsid w:val="00CD544B"/>
    <w:rPr>
      <w:i/>
      <w:iCs/>
      <w:color w:val="1F497D" w:themeColor="text2"/>
    </w:rPr>
  </w:style>
  <w:style w:type="character" w:styleId="Hyperlink">
    <w:name w:val="Hyperlink"/>
    <w:basedOn w:val="Fontepargpadro"/>
    <w:unhideWhenUsed/>
    <w:rsid w:val="00CD544B"/>
    <w:rPr>
      <w:color w:val="0000FF"/>
      <w:u w:val="single"/>
    </w:rPr>
  </w:style>
  <w:style w:type="paragraph" w:customStyle="1" w:styleId="TableContents">
    <w:name w:val="Table Contents"/>
    <w:basedOn w:val="Normal"/>
    <w:rsid w:val="00A00212"/>
    <w:pPr>
      <w:suppressLineNumbers/>
      <w:suppressAutoHyphens/>
      <w:spacing w:after="0" w:line="240" w:lineRule="auto"/>
      <w:textAlignment w:val="baseline"/>
    </w:pPr>
    <w:rPr>
      <w:rFonts w:ascii="Liberation Serif" w:eastAsia="SimSun" w:hAnsi="Liberation Serif" w:cs="Lucida Sans"/>
      <w:kern w:val="1"/>
      <w:sz w:val="24"/>
      <w:szCs w:val="24"/>
      <w:lang w:eastAsia="zh-CN" w:bidi="hi-IN"/>
    </w:rPr>
  </w:style>
  <w:style w:type="character" w:customStyle="1" w:styleId="Caracteresdenotaderodap">
    <w:name w:val="Caracteres de nota de rodapé"/>
    <w:rsid w:val="0073383B"/>
    <w:rPr>
      <w:vertAlign w:val="superscript"/>
    </w:rPr>
  </w:style>
  <w:style w:type="character" w:customStyle="1" w:styleId="Refdenotaderodap1">
    <w:name w:val="Ref. de nota de rodapé1"/>
    <w:rsid w:val="007338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4B5"/>
    <w:pPr>
      <w:spacing w:after="160" w:line="264" w:lineRule="auto"/>
    </w:pPr>
    <w:rPr>
      <w:sz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F5FAA"/>
    <w:pPr>
      <w:spacing w:before="100" w:beforeAutospacing="1" w:after="142" w:line="288"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B5D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5DE1"/>
    <w:rPr>
      <w:rFonts w:ascii="Tahoma" w:hAnsi="Tahoma" w:cs="Tahoma"/>
      <w:sz w:val="16"/>
      <w:szCs w:val="16"/>
    </w:rPr>
  </w:style>
  <w:style w:type="paragraph" w:styleId="Cabealho">
    <w:name w:val="header"/>
    <w:basedOn w:val="Normal"/>
    <w:link w:val="CabealhoChar"/>
    <w:uiPriority w:val="99"/>
    <w:unhideWhenUsed/>
    <w:rsid w:val="009C5F18"/>
    <w:pPr>
      <w:tabs>
        <w:tab w:val="center" w:pos="4252"/>
        <w:tab w:val="right" w:pos="8504"/>
      </w:tabs>
      <w:spacing w:after="0" w:line="240" w:lineRule="auto"/>
    </w:pPr>
    <w:rPr>
      <w:sz w:val="22"/>
      <w:lang w:eastAsia="en-US"/>
    </w:rPr>
  </w:style>
  <w:style w:type="character" w:customStyle="1" w:styleId="CabealhoChar">
    <w:name w:val="Cabeçalho Char"/>
    <w:basedOn w:val="Fontepargpadro"/>
    <w:link w:val="Cabealho"/>
    <w:uiPriority w:val="99"/>
    <w:rsid w:val="009C5F18"/>
  </w:style>
  <w:style w:type="paragraph" w:styleId="Rodap">
    <w:name w:val="footer"/>
    <w:basedOn w:val="Normal"/>
    <w:link w:val="RodapChar"/>
    <w:uiPriority w:val="99"/>
    <w:unhideWhenUsed/>
    <w:rsid w:val="009C5F18"/>
    <w:pPr>
      <w:tabs>
        <w:tab w:val="center" w:pos="4252"/>
        <w:tab w:val="right" w:pos="8504"/>
      </w:tabs>
      <w:spacing w:after="0" w:line="240" w:lineRule="auto"/>
    </w:pPr>
    <w:rPr>
      <w:sz w:val="22"/>
      <w:lang w:eastAsia="en-US"/>
    </w:rPr>
  </w:style>
  <w:style w:type="character" w:customStyle="1" w:styleId="RodapChar">
    <w:name w:val="Rodapé Char"/>
    <w:basedOn w:val="Fontepargpadro"/>
    <w:link w:val="Rodap"/>
    <w:uiPriority w:val="99"/>
    <w:rsid w:val="009C5F18"/>
  </w:style>
  <w:style w:type="paragraph" w:customStyle="1" w:styleId="Contedodatabela">
    <w:name w:val="Conteúdo da tabela"/>
    <w:basedOn w:val="Normal"/>
    <w:rsid w:val="007C24B5"/>
    <w:pPr>
      <w:suppressLineNumbers/>
      <w:suppressAutoHyphens/>
      <w:spacing w:after="0" w:line="240" w:lineRule="auto"/>
    </w:pPr>
    <w:rPr>
      <w:rFonts w:ascii="Liberation Serif" w:eastAsia="SimSun" w:hAnsi="Liberation Serif" w:cs="Lucida Sans"/>
      <w:kern w:val="1"/>
      <w:sz w:val="24"/>
      <w:szCs w:val="24"/>
      <w:lang w:eastAsia="zh-CN" w:bidi="hi-IN"/>
    </w:rPr>
  </w:style>
  <w:style w:type="paragraph" w:customStyle="1" w:styleId="Corpodetexto22">
    <w:name w:val="Corpo de texto 22"/>
    <w:basedOn w:val="Normal"/>
    <w:rsid w:val="007C24B5"/>
    <w:pPr>
      <w:suppressAutoHyphens/>
      <w:spacing w:after="120" w:line="480" w:lineRule="auto"/>
    </w:pPr>
    <w:rPr>
      <w:rFonts w:ascii="Liberation Serif" w:eastAsia="SimSun" w:hAnsi="Liberation Serif" w:cs="Lucida Sans"/>
      <w:kern w:val="1"/>
      <w:sz w:val="24"/>
      <w:szCs w:val="21"/>
      <w:lang w:eastAsia="zh-CN" w:bidi="hi-IN"/>
    </w:rPr>
  </w:style>
  <w:style w:type="character" w:styleId="nfase">
    <w:name w:val="Emphasis"/>
    <w:basedOn w:val="Fontepargpadro"/>
    <w:qFormat/>
    <w:rsid w:val="00CD544B"/>
    <w:rPr>
      <w:i/>
      <w:iCs/>
      <w:color w:val="1F497D" w:themeColor="text2"/>
    </w:rPr>
  </w:style>
  <w:style w:type="character" w:styleId="Hyperlink">
    <w:name w:val="Hyperlink"/>
    <w:basedOn w:val="Fontepargpadro"/>
    <w:unhideWhenUsed/>
    <w:rsid w:val="00CD544B"/>
    <w:rPr>
      <w:color w:val="0000FF"/>
      <w:u w:val="single"/>
    </w:rPr>
  </w:style>
  <w:style w:type="paragraph" w:customStyle="1" w:styleId="TableContents">
    <w:name w:val="Table Contents"/>
    <w:basedOn w:val="Normal"/>
    <w:rsid w:val="00A00212"/>
    <w:pPr>
      <w:suppressLineNumbers/>
      <w:suppressAutoHyphens/>
      <w:spacing w:after="0" w:line="240" w:lineRule="auto"/>
      <w:textAlignment w:val="baseline"/>
    </w:pPr>
    <w:rPr>
      <w:rFonts w:ascii="Liberation Serif" w:eastAsia="SimSun" w:hAnsi="Liberation Serif" w:cs="Lucida Sans"/>
      <w:kern w:val="1"/>
      <w:sz w:val="24"/>
      <w:szCs w:val="24"/>
      <w:lang w:eastAsia="zh-CN" w:bidi="hi-IN"/>
    </w:rPr>
  </w:style>
  <w:style w:type="character" w:customStyle="1" w:styleId="Caracteresdenotaderodap">
    <w:name w:val="Caracteres de nota de rodapé"/>
    <w:rsid w:val="0073383B"/>
    <w:rPr>
      <w:vertAlign w:val="superscript"/>
    </w:rPr>
  </w:style>
  <w:style w:type="character" w:customStyle="1" w:styleId="Refdenotaderodap1">
    <w:name w:val="Ref. de nota de rodapé1"/>
    <w:rsid w:val="00733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09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Iêda Fernandes</dc:creator>
  <cp:lastModifiedBy>Iêda Fernandes</cp:lastModifiedBy>
  <cp:revision>4</cp:revision>
  <cp:lastPrinted>2019-03-19T20:38:00Z</cp:lastPrinted>
  <dcterms:created xsi:type="dcterms:W3CDTF">2019-03-19T20:38:00Z</dcterms:created>
  <dcterms:modified xsi:type="dcterms:W3CDTF">2019-03-19T20:38:00Z</dcterms:modified>
</cp:coreProperties>
</file>