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83B" w:rsidRPr="0021236F" w:rsidRDefault="0073383B" w:rsidP="0073383B">
      <w:pPr>
        <w:widowControl w:val="0"/>
        <w:spacing w:after="0" w:line="240" w:lineRule="auto"/>
        <w:jc w:val="both"/>
        <w:rPr>
          <w:rFonts w:ascii="Times New Roman" w:hAnsi="Times New Roman" w:cs="Times New Roman"/>
          <w:color w:val="808080" w:themeColor="background1" w:themeShade="80"/>
        </w:rPr>
      </w:pPr>
      <w:proofErr w:type="gramStart"/>
      <w:r w:rsidRPr="0021236F">
        <w:rPr>
          <w:rFonts w:ascii="Times New Roman" w:hAnsi="Times New Roman" w:cs="Times New Roman"/>
          <w:b/>
          <w:bCs/>
          <w:color w:val="808080" w:themeColor="background1" w:themeShade="80"/>
        </w:rPr>
        <w:t>8</w:t>
      </w:r>
      <w:proofErr w:type="gramEnd"/>
      <w:r w:rsidRPr="0021236F">
        <w:rPr>
          <w:rFonts w:ascii="Times New Roman" w:hAnsi="Times New Roman" w:cs="Times New Roman"/>
          <w:b/>
          <w:bCs/>
          <w:color w:val="808080" w:themeColor="background1" w:themeShade="80"/>
        </w:rPr>
        <w:t xml:space="preserve"> TOMADA DE PREÇOS E CONVITE</w:t>
      </w:r>
    </w:p>
    <w:p w:rsidR="0073383B" w:rsidRPr="0021236F" w:rsidRDefault="0073383B" w:rsidP="0073383B">
      <w:pPr>
        <w:widowControl w:val="0"/>
        <w:spacing w:after="0" w:line="240" w:lineRule="auto"/>
        <w:jc w:val="both"/>
        <w:rPr>
          <w:rFonts w:ascii="Times New Roman" w:hAnsi="Times New Roman" w:cs="Times New Roman"/>
          <w:color w:val="808080" w:themeColor="background1" w:themeShade="80"/>
        </w:rPr>
      </w:pPr>
      <w:proofErr w:type="gramStart"/>
      <w:r w:rsidRPr="0021236F">
        <w:rPr>
          <w:rFonts w:ascii="Times New Roman" w:hAnsi="Times New Roman" w:cs="Times New Roman"/>
          <w:b/>
          <w:bCs/>
          <w:color w:val="808080" w:themeColor="background1" w:themeShade="80"/>
        </w:rPr>
        <w:t>8.1 Tomada de Preços e Convite</w:t>
      </w:r>
      <w:proofErr w:type="gramEnd"/>
      <w:r w:rsidRPr="0021236F">
        <w:rPr>
          <w:rFonts w:ascii="Times New Roman" w:hAnsi="Times New Roman" w:cs="Times New Roman"/>
          <w:b/>
          <w:bCs/>
          <w:color w:val="808080" w:themeColor="background1" w:themeShade="80"/>
        </w:rPr>
        <w:t xml:space="preserve"> – Quadro</w:t>
      </w:r>
    </w:p>
    <w:p w:rsidR="0073383B" w:rsidRPr="0021236F" w:rsidRDefault="0073383B" w:rsidP="0073383B">
      <w:pPr>
        <w:widowControl w:val="0"/>
        <w:spacing w:after="0" w:line="240" w:lineRule="auto"/>
        <w:jc w:val="both"/>
        <w:rPr>
          <w:rFonts w:ascii="Times New Roman" w:hAnsi="Times New Roman" w:cs="Times New Roman"/>
          <w:color w:val="808080" w:themeColor="background1" w:themeShade="80"/>
        </w:rPr>
      </w:pPr>
      <w:r w:rsidRPr="0021236F">
        <w:rPr>
          <w:rFonts w:ascii="Times New Roman" w:hAnsi="Times New Roman" w:cs="Times New Roman"/>
          <w:b/>
          <w:bCs/>
          <w:color w:val="808080" w:themeColor="background1" w:themeShade="80"/>
        </w:rPr>
        <w:t>8.2. Fases da Tomada de Preços e Convite</w:t>
      </w:r>
    </w:p>
    <w:p w:rsidR="0073383B" w:rsidRPr="0021236F" w:rsidRDefault="0073383B" w:rsidP="0073383B">
      <w:pPr>
        <w:widowControl w:val="0"/>
        <w:spacing w:after="0" w:line="240" w:lineRule="auto"/>
        <w:jc w:val="both"/>
        <w:rPr>
          <w:rFonts w:ascii="Times New Roman" w:hAnsi="Times New Roman" w:cs="Times New Roman"/>
          <w:color w:val="808080" w:themeColor="background1" w:themeShade="80"/>
        </w:rPr>
      </w:pPr>
      <w:r w:rsidRPr="0021236F">
        <w:rPr>
          <w:rFonts w:ascii="Times New Roman" w:hAnsi="Times New Roman" w:cs="Times New Roman"/>
          <w:color w:val="808080" w:themeColor="background1" w:themeShade="80"/>
        </w:rPr>
        <w:t>8.2.1 Fase interna</w:t>
      </w: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3969"/>
        <w:gridCol w:w="3261"/>
        <w:gridCol w:w="1701"/>
        <w:gridCol w:w="992"/>
      </w:tblGrid>
      <w:tr w:rsidR="0073383B" w:rsidRPr="0021236F" w:rsidTr="00B03D4B">
        <w:tc>
          <w:tcPr>
            <w:tcW w:w="3969" w:type="dxa"/>
            <w:tcBorders>
              <w:top w:val="single" w:sz="1" w:space="0" w:color="000000"/>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center"/>
              <w:rPr>
                <w:rFonts w:ascii="Times New Roman" w:hAnsi="Times New Roman" w:cs="Times New Roman"/>
                <w:color w:val="808080" w:themeColor="background1" w:themeShade="80"/>
                <w:sz w:val="20"/>
                <w:szCs w:val="20"/>
              </w:rPr>
            </w:pPr>
            <w:r w:rsidRPr="0005176F">
              <w:rPr>
                <w:rFonts w:ascii="Times New Roman" w:hAnsi="Times New Roman" w:cs="Times New Roman"/>
                <w:b/>
                <w:bCs/>
                <w:color w:val="808080" w:themeColor="background1" w:themeShade="80"/>
                <w:sz w:val="20"/>
                <w:szCs w:val="20"/>
              </w:rPr>
              <w:t>ATOS E DOCUMENTOS PARA INSTRUIR O PROCESSO.</w:t>
            </w:r>
          </w:p>
        </w:tc>
        <w:tc>
          <w:tcPr>
            <w:tcW w:w="3261" w:type="dxa"/>
            <w:tcBorders>
              <w:top w:val="single" w:sz="1" w:space="0" w:color="000000"/>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center"/>
              <w:rPr>
                <w:rFonts w:ascii="Times New Roman" w:hAnsi="Times New Roman" w:cs="Times New Roman"/>
                <w:color w:val="808080" w:themeColor="background1" w:themeShade="80"/>
                <w:sz w:val="20"/>
                <w:szCs w:val="20"/>
              </w:rPr>
            </w:pPr>
            <w:r w:rsidRPr="0005176F">
              <w:rPr>
                <w:rFonts w:ascii="Times New Roman" w:hAnsi="Times New Roman" w:cs="Times New Roman"/>
                <w:b/>
                <w:bCs/>
                <w:color w:val="808080" w:themeColor="background1" w:themeShade="80"/>
                <w:sz w:val="20"/>
                <w:szCs w:val="20"/>
              </w:rPr>
              <w:t>OBSERVAÇÕES</w:t>
            </w:r>
          </w:p>
        </w:tc>
        <w:tc>
          <w:tcPr>
            <w:tcW w:w="1701" w:type="dxa"/>
            <w:tcBorders>
              <w:top w:val="single" w:sz="1" w:space="0" w:color="000000"/>
              <w:left w:val="single" w:sz="1" w:space="0" w:color="000000"/>
              <w:bottom w:val="single" w:sz="1" w:space="0" w:color="000000"/>
            </w:tcBorders>
            <w:shd w:val="clear" w:color="auto" w:fill="auto"/>
          </w:tcPr>
          <w:p w:rsidR="0073383B" w:rsidRDefault="0073383B" w:rsidP="00D024C8">
            <w:pPr>
              <w:pStyle w:val="Contedodatabela"/>
              <w:widowControl w:val="0"/>
              <w:jc w:val="center"/>
              <w:rPr>
                <w:rFonts w:ascii="Times New Roman" w:hAnsi="Times New Roman" w:cs="Times New Roman"/>
                <w:b/>
                <w:color w:val="808080" w:themeColor="background1" w:themeShade="80"/>
                <w:sz w:val="20"/>
                <w:szCs w:val="20"/>
              </w:rPr>
            </w:pPr>
            <w:r w:rsidRPr="0005176F">
              <w:rPr>
                <w:rFonts w:ascii="Times New Roman" w:hAnsi="Times New Roman" w:cs="Times New Roman"/>
                <w:b/>
                <w:color w:val="808080" w:themeColor="background1" w:themeShade="80"/>
                <w:sz w:val="20"/>
                <w:szCs w:val="20"/>
              </w:rPr>
              <w:t>SIM/NÃO/</w:t>
            </w:r>
          </w:p>
          <w:p w:rsidR="0073383B" w:rsidRPr="0005176F" w:rsidRDefault="0073383B" w:rsidP="00D024C8">
            <w:pPr>
              <w:pStyle w:val="Contedodatabela"/>
              <w:widowControl w:val="0"/>
              <w:jc w:val="center"/>
              <w:rPr>
                <w:rFonts w:ascii="Times New Roman" w:hAnsi="Times New Roman" w:cs="Times New Roman"/>
                <w:color w:val="808080" w:themeColor="background1" w:themeShade="80"/>
                <w:sz w:val="20"/>
                <w:szCs w:val="20"/>
              </w:rPr>
            </w:pPr>
            <w:r w:rsidRPr="0005176F">
              <w:rPr>
                <w:rFonts w:ascii="Times New Roman" w:hAnsi="Times New Roman" w:cs="Times New Roman"/>
                <w:b/>
                <w:color w:val="808080" w:themeColor="background1" w:themeShade="80"/>
                <w:sz w:val="20"/>
                <w:szCs w:val="20"/>
              </w:rPr>
              <w:t>PREJUDICADO</w:t>
            </w:r>
          </w:p>
        </w:tc>
        <w:tc>
          <w:tcPr>
            <w:tcW w:w="992" w:type="dxa"/>
            <w:tcBorders>
              <w:top w:val="single" w:sz="1" w:space="0" w:color="000000"/>
              <w:left w:val="single" w:sz="1" w:space="0" w:color="000000"/>
              <w:bottom w:val="single" w:sz="1" w:space="0" w:color="000000"/>
              <w:right w:val="single" w:sz="1" w:space="0" w:color="000000"/>
            </w:tcBorders>
            <w:shd w:val="clear" w:color="auto" w:fill="auto"/>
          </w:tcPr>
          <w:p w:rsidR="0073383B" w:rsidRPr="0005176F" w:rsidRDefault="0073383B" w:rsidP="00D024C8">
            <w:pPr>
              <w:pStyle w:val="Contedodatabela"/>
              <w:widowControl w:val="0"/>
              <w:jc w:val="center"/>
              <w:rPr>
                <w:rFonts w:ascii="Times New Roman" w:hAnsi="Times New Roman" w:cs="Times New Roman"/>
                <w:color w:val="808080" w:themeColor="background1" w:themeShade="80"/>
                <w:sz w:val="20"/>
                <w:szCs w:val="20"/>
              </w:rPr>
            </w:pPr>
            <w:r w:rsidRPr="0005176F">
              <w:rPr>
                <w:rFonts w:ascii="Times New Roman" w:hAnsi="Times New Roman" w:cs="Times New Roman"/>
                <w:b/>
                <w:color w:val="808080" w:themeColor="background1" w:themeShade="80"/>
                <w:sz w:val="20"/>
                <w:szCs w:val="20"/>
              </w:rPr>
              <w:t>FLS.</w:t>
            </w: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a) Instauração de processo administrativo devidamente autuado, protocolado e </w:t>
            </w:r>
            <w:proofErr w:type="gramStart"/>
            <w:r w:rsidRPr="0005176F">
              <w:rPr>
                <w:rFonts w:ascii="Times New Roman" w:hAnsi="Times New Roman" w:cs="Times New Roman"/>
                <w:color w:val="808080" w:themeColor="background1" w:themeShade="80"/>
                <w:sz w:val="20"/>
                <w:szCs w:val="20"/>
              </w:rPr>
              <w:t>numerado</w:t>
            </w:r>
            <w:proofErr w:type="gramEnd"/>
          </w:p>
        </w:tc>
        <w:tc>
          <w:tcPr>
            <w:tcW w:w="326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lang w:val="en-US"/>
              </w:rPr>
              <w:t>art</w:t>
            </w:r>
            <w:proofErr w:type="gramEnd"/>
            <w:r w:rsidRPr="0005176F">
              <w:rPr>
                <w:rFonts w:ascii="Times New Roman" w:hAnsi="Times New Roman" w:cs="Times New Roman"/>
                <w:color w:val="808080" w:themeColor="background1" w:themeShade="80"/>
                <w:sz w:val="20"/>
                <w:szCs w:val="20"/>
                <w:lang w:val="en-US"/>
              </w:rPr>
              <w:t>. 38, da Lei Federal n. 8.666/93</w:t>
            </w:r>
          </w:p>
        </w:tc>
        <w:tc>
          <w:tcPr>
            <w:tcW w:w="170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lang w:val="en-US"/>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lang w:val="en-US"/>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b) Solicitação/requisição do objeto, elaborada pelo agente ou setor competente, que atenda às seguintes</w:t>
            </w:r>
            <w:r w:rsidRPr="0005176F">
              <w:rPr>
                <w:rFonts w:ascii="Times New Roman" w:hAnsi="Times New Roman" w:cs="Times New Roman"/>
                <w:i/>
                <w:color w:val="808080" w:themeColor="background1" w:themeShade="80"/>
                <w:sz w:val="20"/>
                <w:szCs w:val="20"/>
              </w:rPr>
              <w:t xml:space="preserve"> </w:t>
            </w:r>
            <w:r w:rsidRPr="0005176F">
              <w:rPr>
                <w:rFonts w:ascii="Times New Roman" w:hAnsi="Times New Roman" w:cs="Times New Roman"/>
                <w:color w:val="808080" w:themeColor="background1" w:themeShade="80"/>
                <w:sz w:val="20"/>
                <w:szCs w:val="20"/>
              </w:rPr>
              <w:t xml:space="preserve">exigências: </w:t>
            </w:r>
          </w:p>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p w:rsidR="0073383B" w:rsidRPr="0005176F" w:rsidRDefault="0073383B" w:rsidP="0073383B">
            <w:pPr>
              <w:widowControl w:val="0"/>
              <w:numPr>
                <w:ilvl w:val="0"/>
                <w:numId w:val="3"/>
              </w:numPr>
              <w:suppressAutoHyphens/>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Da solicitação/requisição, deve constar justificativa fundamentada dos quantitativos (bens/serviços) requisitados, tais como demonstrativo de consumo dos exercícios anteriores, relatórios do almoxarifado e/ou outros dados objetivos que demonstrem o dimensionamento adequado da aquisição/contratação; </w:t>
            </w:r>
            <w:proofErr w:type="gramStart"/>
            <w:r w:rsidRPr="0005176F">
              <w:rPr>
                <w:rFonts w:ascii="Times New Roman" w:hAnsi="Times New Roman" w:cs="Times New Roman"/>
                <w:color w:val="808080" w:themeColor="background1" w:themeShade="80"/>
                <w:sz w:val="20"/>
                <w:szCs w:val="20"/>
              </w:rPr>
              <w:t>e</w:t>
            </w:r>
            <w:proofErr w:type="gramEnd"/>
          </w:p>
          <w:p w:rsidR="0073383B" w:rsidRPr="0005176F" w:rsidRDefault="0073383B" w:rsidP="0073383B">
            <w:pPr>
              <w:widowControl w:val="0"/>
              <w:numPr>
                <w:ilvl w:val="0"/>
                <w:numId w:val="3"/>
              </w:numPr>
              <w:suppressAutoHyphens/>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Da solicitação/requisição, deve constar manifestação sobre práticas e/ou critérios de sustentabilidade economicamente viáveis adotados no procedimento </w:t>
            </w:r>
            <w:proofErr w:type="gramStart"/>
            <w:r w:rsidRPr="0005176F">
              <w:rPr>
                <w:rFonts w:ascii="Times New Roman" w:hAnsi="Times New Roman" w:cs="Times New Roman"/>
                <w:color w:val="808080" w:themeColor="background1" w:themeShade="80"/>
                <w:sz w:val="20"/>
                <w:szCs w:val="20"/>
              </w:rPr>
              <w:t>licitatório</w:t>
            </w:r>
            <w:proofErr w:type="gramEnd"/>
            <w:r w:rsidRPr="0005176F">
              <w:rPr>
                <w:rFonts w:ascii="Times New Roman" w:hAnsi="Times New Roman" w:cs="Times New Roman"/>
                <w:color w:val="808080" w:themeColor="background1" w:themeShade="80"/>
                <w:sz w:val="20"/>
                <w:szCs w:val="20"/>
              </w:rPr>
              <w:t xml:space="preserve"> </w:t>
            </w:r>
          </w:p>
        </w:tc>
        <w:tc>
          <w:tcPr>
            <w:tcW w:w="3261"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Acórdão n. 254/2004, Segunda Câmara, TCU</w:t>
            </w:r>
            <w:r w:rsidRPr="0005176F">
              <w:rPr>
                <w:rStyle w:val="Refdenotaderodap1"/>
                <w:rFonts w:ascii="Times New Roman" w:hAnsi="Times New Roman" w:cs="Times New Roman"/>
                <w:color w:val="808080" w:themeColor="background1" w:themeShade="80"/>
                <w:sz w:val="20"/>
                <w:szCs w:val="20"/>
              </w:rPr>
              <w:footnoteReference w:id="1"/>
            </w:r>
            <w:r w:rsidRPr="0005176F">
              <w:rPr>
                <w:rFonts w:ascii="Times New Roman" w:hAnsi="Times New Roman" w:cs="Times New Roman"/>
                <w:color w:val="808080" w:themeColor="background1" w:themeShade="80"/>
                <w:sz w:val="20"/>
                <w:szCs w:val="20"/>
              </w:rPr>
              <w:t>; art. 3º, caput, da Lei Federal n. 8.666/93; Decreto estadual n. 1.354/2015; e Guia Nacional de Licitações Sustentáveis</w:t>
            </w:r>
            <w:proofErr w:type="gramStart"/>
            <w:r w:rsidRPr="0005176F">
              <w:rPr>
                <w:rStyle w:val="Refdenotaderodap1"/>
                <w:rFonts w:ascii="Times New Roman" w:hAnsi="Times New Roman" w:cs="Times New Roman"/>
                <w:color w:val="808080" w:themeColor="background1" w:themeShade="80"/>
                <w:sz w:val="20"/>
                <w:szCs w:val="20"/>
              </w:rPr>
              <w:footnoteReference w:id="2"/>
            </w:r>
            <w:proofErr w:type="gramEnd"/>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c) Autorização devidamente justificada da autoridade competente para a abertura da licitação</w:t>
            </w:r>
          </w:p>
        </w:tc>
        <w:tc>
          <w:tcPr>
            <w:tcW w:w="326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lang w:val="en-US"/>
              </w:rPr>
              <w:t>art</w:t>
            </w:r>
            <w:proofErr w:type="gramEnd"/>
            <w:r w:rsidRPr="0005176F">
              <w:rPr>
                <w:rFonts w:ascii="Times New Roman" w:hAnsi="Times New Roman" w:cs="Times New Roman"/>
                <w:color w:val="808080" w:themeColor="background1" w:themeShade="80"/>
                <w:sz w:val="20"/>
                <w:szCs w:val="20"/>
                <w:lang w:val="en-US"/>
              </w:rPr>
              <w:t>. 38, caput, da Lei Federal n. 8.666/93</w:t>
            </w:r>
          </w:p>
        </w:tc>
        <w:tc>
          <w:tcPr>
            <w:tcW w:w="170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lang w:val="en-US"/>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lang w:val="en-US"/>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d) No caso de compras, apresentação de documento contendo as especificações e a quantidade estimada do objeto, e que atenda às seguintes exigências:</w:t>
            </w:r>
          </w:p>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p w:rsidR="0073383B" w:rsidRPr="0005176F" w:rsidRDefault="0073383B" w:rsidP="0073383B">
            <w:pPr>
              <w:widowControl w:val="0"/>
              <w:numPr>
                <w:ilvl w:val="0"/>
                <w:numId w:val="4"/>
              </w:numPr>
              <w:suppressAutoHyphens/>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Manifestação do setor competente informando que as compras atendem ao princípio da padronização, que imponha compatibilidade de especificações técnicas e de desempenho, observadas as condições de manutenção, assistência técnica e garantia oferecidas;</w:t>
            </w:r>
          </w:p>
          <w:p w:rsidR="0073383B" w:rsidRPr="0005176F" w:rsidRDefault="0073383B" w:rsidP="0073383B">
            <w:pPr>
              <w:widowControl w:val="0"/>
              <w:numPr>
                <w:ilvl w:val="0"/>
                <w:numId w:val="4"/>
              </w:numPr>
              <w:suppressAutoHyphens/>
              <w:spacing w:after="0" w:line="240" w:lineRule="auto"/>
              <w:jc w:val="both"/>
              <w:rPr>
                <w:rFonts w:ascii="Times New Roman" w:hAnsi="Times New Roman" w:cs="Times New Roman"/>
                <w:color w:val="808080" w:themeColor="background1" w:themeShade="80"/>
                <w:sz w:val="20"/>
                <w:szCs w:val="20"/>
              </w:rPr>
            </w:pPr>
            <w:r w:rsidRPr="0005176F">
              <w:rPr>
                <w:rFonts w:ascii="Times New Roman" w:eastAsia="Liberation Serif" w:hAnsi="Times New Roman" w:cs="Times New Roman"/>
                <w:color w:val="808080" w:themeColor="background1" w:themeShade="80"/>
                <w:sz w:val="20"/>
                <w:szCs w:val="20"/>
              </w:rPr>
              <w:t xml:space="preserve"> </w:t>
            </w:r>
            <w:r w:rsidRPr="0005176F">
              <w:rPr>
                <w:rFonts w:ascii="Times New Roman" w:hAnsi="Times New Roman" w:cs="Times New Roman"/>
                <w:color w:val="808080" w:themeColor="background1" w:themeShade="80"/>
                <w:sz w:val="20"/>
                <w:szCs w:val="20"/>
              </w:rPr>
              <w:t>Análise quanto à possibilidade de a licitação ser processada por meio do sistema de registro de preços;</w:t>
            </w:r>
          </w:p>
          <w:p w:rsidR="0073383B" w:rsidRPr="0005176F" w:rsidRDefault="0073383B" w:rsidP="0073383B">
            <w:pPr>
              <w:widowControl w:val="0"/>
              <w:numPr>
                <w:ilvl w:val="0"/>
                <w:numId w:val="4"/>
              </w:numPr>
              <w:suppressAutoHyphens/>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Caso a resposta do item anterior seja negativa, apresentação de justificativa idônea pela autoridade competente; </w:t>
            </w:r>
            <w:proofErr w:type="gramStart"/>
            <w:r w:rsidRPr="0005176F">
              <w:rPr>
                <w:rFonts w:ascii="Times New Roman" w:hAnsi="Times New Roman" w:cs="Times New Roman"/>
                <w:color w:val="808080" w:themeColor="background1" w:themeShade="80"/>
                <w:sz w:val="20"/>
                <w:szCs w:val="20"/>
              </w:rPr>
              <w:t>e</w:t>
            </w:r>
            <w:proofErr w:type="gramEnd"/>
            <w:r w:rsidRPr="0005176F">
              <w:rPr>
                <w:rFonts w:ascii="Times New Roman" w:hAnsi="Times New Roman" w:cs="Times New Roman"/>
                <w:color w:val="808080" w:themeColor="background1" w:themeShade="80"/>
                <w:sz w:val="20"/>
                <w:szCs w:val="20"/>
              </w:rPr>
              <w:t xml:space="preserve"> </w:t>
            </w:r>
          </w:p>
          <w:p w:rsidR="0073383B" w:rsidRPr="0005176F" w:rsidRDefault="0073383B" w:rsidP="0073383B">
            <w:pPr>
              <w:widowControl w:val="0"/>
              <w:numPr>
                <w:ilvl w:val="0"/>
                <w:numId w:val="4"/>
              </w:numPr>
              <w:suppressAutoHyphens/>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Manifestação do setor competente </w:t>
            </w:r>
            <w:r w:rsidRPr="0005176F">
              <w:rPr>
                <w:rFonts w:ascii="Times New Roman" w:hAnsi="Times New Roman" w:cs="Times New Roman"/>
                <w:color w:val="808080" w:themeColor="background1" w:themeShade="80"/>
                <w:sz w:val="20"/>
                <w:szCs w:val="20"/>
              </w:rPr>
              <w:lastRenderedPageBreak/>
              <w:t xml:space="preserve">que justifique as compras realizadas quanto ao requisito da economicidade de que trata o art. 15, IV, da </w:t>
            </w:r>
            <w:proofErr w:type="gramStart"/>
            <w:r w:rsidRPr="0005176F">
              <w:rPr>
                <w:rFonts w:ascii="Times New Roman" w:hAnsi="Times New Roman" w:cs="Times New Roman"/>
                <w:color w:val="808080" w:themeColor="background1" w:themeShade="80"/>
                <w:sz w:val="20"/>
                <w:szCs w:val="20"/>
              </w:rPr>
              <w:t>LLC</w:t>
            </w:r>
            <w:proofErr w:type="gramEnd"/>
            <w:r w:rsidRPr="0005176F">
              <w:rPr>
                <w:rFonts w:ascii="Times New Roman" w:hAnsi="Times New Roman" w:cs="Times New Roman"/>
                <w:color w:val="808080" w:themeColor="background1" w:themeShade="80"/>
                <w:sz w:val="20"/>
                <w:szCs w:val="20"/>
              </w:rPr>
              <w:t xml:space="preserve"> </w:t>
            </w:r>
          </w:p>
        </w:tc>
        <w:tc>
          <w:tcPr>
            <w:tcW w:w="3261"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lastRenderedPageBreak/>
              <w:t>art.</w:t>
            </w:r>
            <w:proofErr w:type="gramEnd"/>
            <w:r w:rsidRPr="0005176F">
              <w:rPr>
                <w:rFonts w:ascii="Times New Roman" w:hAnsi="Times New Roman" w:cs="Times New Roman"/>
                <w:color w:val="808080" w:themeColor="background1" w:themeShade="80"/>
                <w:sz w:val="20"/>
                <w:szCs w:val="20"/>
              </w:rPr>
              <w:t xml:space="preserve"> 14, caput, art. 15, I, II e I, ambos da Lei Federal n. 8.666/93 e Decreto Estadual n. 1.887/2017</w:t>
            </w:r>
          </w:p>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lastRenderedPageBreak/>
              <w:t xml:space="preserve">e) No caso de bens e serviços comuns, justificativa quanto </w:t>
            </w:r>
            <w:proofErr w:type="gramStart"/>
            <w:r w:rsidRPr="0005176F">
              <w:rPr>
                <w:rFonts w:ascii="Times New Roman" w:hAnsi="Times New Roman" w:cs="Times New Roman"/>
                <w:color w:val="808080" w:themeColor="background1" w:themeShade="80"/>
                <w:sz w:val="20"/>
                <w:szCs w:val="20"/>
              </w:rPr>
              <w:t>à</w:t>
            </w:r>
            <w:proofErr w:type="gramEnd"/>
            <w:r w:rsidRPr="0005176F">
              <w:rPr>
                <w:rFonts w:ascii="Times New Roman" w:hAnsi="Times New Roman" w:cs="Times New Roman"/>
                <w:color w:val="808080" w:themeColor="background1" w:themeShade="80"/>
                <w:sz w:val="20"/>
                <w:szCs w:val="20"/>
              </w:rPr>
              <w:t xml:space="preserve"> não utilização do pregão</w:t>
            </w:r>
          </w:p>
        </w:tc>
        <w:tc>
          <w:tcPr>
            <w:tcW w:w="326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Lei Federal n. 10.520/de 2002, Decreto Estadual n. 2.069/2006 e Portaria n. 1.739/</w:t>
            </w:r>
            <w:proofErr w:type="gramStart"/>
            <w:r w:rsidRPr="0005176F">
              <w:rPr>
                <w:rFonts w:ascii="Times New Roman" w:hAnsi="Times New Roman" w:cs="Times New Roman"/>
                <w:color w:val="808080" w:themeColor="background1" w:themeShade="80"/>
                <w:sz w:val="20"/>
                <w:szCs w:val="20"/>
              </w:rPr>
              <w:t>2003</w:t>
            </w:r>
            <w:proofErr w:type="gramEnd"/>
          </w:p>
        </w:tc>
        <w:tc>
          <w:tcPr>
            <w:tcW w:w="170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f) Para contratação de obras ou serviços, </w:t>
            </w:r>
            <w:proofErr w:type="gramStart"/>
            <w:r w:rsidRPr="0005176F">
              <w:rPr>
                <w:rFonts w:ascii="Times New Roman" w:hAnsi="Times New Roman" w:cs="Times New Roman"/>
                <w:color w:val="808080" w:themeColor="background1" w:themeShade="80"/>
                <w:sz w:val="20"/>
                <w:szCs w:val="20"/>
              </w:rPr>
              <w:t>realização de estudo técnico preliminar, que assegure a viabilidade técnica e o adequado tratamento do impacto ambiental do empreendimento</w:t>
            </w:r>
            <w:proofErr w:type="gramEnd"/>
            <w:r w:rsidRPr="0005176F">
              <w:rPr>
                <w:rFonts w:ascii="Times New Roman" w:hAnsi="Times New Roman" w:cs="Times New Roman"/>
                <w:color w:val="808080" w:themeColor="background1" w:themeShade="80"/>
                <w:sz w:val="20"/>
                <w:szCs w:val="20"/>
              </w:rPr>
              <w:t>, capaz de subsidiar a elaboração do projeto básico</w:t>
            </w:r>
          </w:p>
        </w:tc>
        <w:tc>
          <w:tcPr>
            <w:tcW w:w="326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art.</w:t>
            </w:r>
            <w:proofErr w:type="gramEnd"/>
            <w:r w:rsidRPr="0005176F">
              <w:rPr>
                <w:rFonts w:ascii="Times New Roman" w:hAnsi="Times New Roman" w:cs="Times New Roman"/>
                <w:color w:val="808080" w:themeColor="background1" w:themeShade="80"/>
                <w:sz w:val="20"/>
                <w:szCs w:val="20"/>
              </w:rPr>
              <w:t xml:space="preserve"> 6.º, IX, da Lei Federal n. 8.666/93</w:t>
            </w:r>
          </w:p>
        </w:tc>
        <w:tc>
          <w:tcPr>
            <w:tcW w:w="170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g) Para contratação de obras ou serviços, elaboração de projeto básico, que atenda às seguintes exigências:</w:t>
            </w:r>
          </w:p>
          <w:p w:rsidR="0073383B" w:rsidRPr="0005176F" w:rsidRDefault="0073383B" w:rsidP="0073383B">
            <w:pPr>
              <w:widowControl w:val="0"/>
              <w:numPr>
                <w:ilvl w:val="0"/>
                <w:numId w:val="5"/>
              </w:numPr>
              <w:suppressAutoHyphens/>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Aprovação do projeto básico pela autoridade competente; </w:t>
            </w:r>
            <w:proofErr w:type="gramStart"/>
            <w:r w:rsidRPr="0005176F">
              <w:rPr>
                <w:rFonts w:ascii="Times New Roman" w:hAnsi="Times New Roman" w:cs="Times New Roman"/>
                <w:color w:val="808080" w:themeColor="background1" w:themeShade="80"/>
                <w:sz w:val="20"/>
                <w:szCs w:val="20"/>
              </w:rPr>
              <w:t>e</w:t>
            </w:r>
            <w:proofErr w:type="gramEnd"/>
          </w:p>
          <w:p w:rsidR="0073383B" w:rsidRPr="0005176F" w:rsidRDefault="0073383B" w:rsidP="0073383B">
            <w:pPr>
              <w:widowControl w:val="0"/>
              <w:numPr>
                <w:ilvl w:val="0"/>
                <w:numId w:val="5"/>
              </w:numPr>
              <w:suppressAutoHyphens/>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Disponibilização do projeto básico ao público interessado em participar do processo licitatório</w:t>
            </w:r>
          </w:p>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tc>
        <w:tc>
          <w:tcPr>
            <w:tcW w:w="3261"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roofErr w:type="spellStart"/>
            <w:proofErr w:type="gramStart"/>
            <w:r w:rsidRPr="0005176F">
              <w:rPr>
                <w:rFonts w:ascii="Times New Roman" w:hAnsi="Times New Roman" w:cs="Times New Roman"/>
                <w:color w:val="808080" w:themeColor="background1" w:themeShade="80"/>
                <w:sz w:val="20"/>
                <w:szCs w:val="20"/>
              </w:rPr>
              <w:t>arts</w:t>
            </w:r>
            <w:proofErr w:type="spellEnd"/>
            <w:proofErr w:type="gramEnd"/>
            <w:r w:rsidRPr="0005176F">
              <w:rPr>
                <w:rFonts w:ascii="Times New Roman" w:hAnsi="Times New Roman" w:cs="Times New Roman"/>
                <w:color w:val="808080" w:themeColor="background1" w:themeShade="80"/>
                <w:sz w:val="20"/>
                <w:szCs w:val="20"/>
              </w:rPr>
              <w:t xml:space="preserve">. </w:t>
            </w:r>
            <w:proofErr w:type="gramStart"/>
            <w:r w:rsidRPr="0005176F">
              <w:rPr>
                <w:rFonts w:ascii="Times New Roman" w:hAnsi="Times New Roman" w:cs="Times New Roman"/>
                <w:color w:val="808080" w:themeColor="background1" w:themeShade="80"/>
                <w:sz w:val="20"/>
                <w:szCs w:val="20"/>
              </w:rPr>
              <w:t>6º, IX</w:t>
            </w:r>
            <w:proofErr w:type="gramEnd"/>
            <w:r w:rsidRPr="0005176F">
              <w:rPr>
                <w:rFonts w:ascii="Times New Roman" w:hAnsi="Times New Roman" w:cs="Times New Roman"/>
                <w:color w:val="808080" w:themeColor="background1" w:themeShade="80"/>
                <w:sz w:val="20"/>
                <w:szCs w:val="20"/>
              </w:rPr>
              <w:t xml:space="preserve"> e 7º, I e §2º, I, da Lei Federal n. 8.666/93</w:t>
            </w:r>
          </w:p>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h) Para contratação de obras e serviços, elaboração de projeto executivo prévio, ou, caso não tenha sido elaborado previamente, deve </w:t>
            </w:r>
            <w:proofErr w:type="gramStart"/>
            <w:r w:rsidRPr="0005176F">
              <w:rPr>
                <w:rFonts w:ascii="Times New Roman" w:hAnsi="Times New Roman" w:cs="Times New Roman"/>
                <w:color w:val="808080" w:themeColor="background1" w:themeShade="80"/>
                <w:sz w:val="20"/>
                <w:szCs w:val="20"/>
              </w:rPr>
              <w:t>haver expressa</w:t>
            </w:r>
            <w:proofErr w:type="gramEnd"/>
            <w:r w:rsidRPr="0005176F">
              <w:rPr>
                <w:rFonts w:ascii="Times New Roman" w:hAnsi="Times New Roman" w:cs="Times New Roman"/>
                <w:color w:val="808080" w:themeColor="background1" w:themeShade="80"/>
                <w:sz w:val="20"/>
                <w:szCs w:val="20"/>
              </w:rPr>
              <w:t xml:space="preserve"> autorização pela autoridade competente para que o projeto executivo seja realizado concomitantemente com a execução da obra ou serviço</w:t>
            </w:r>
            <w:r>
              <w:rPr>
                <w:rFonts w:ascii="Times New Roman" w:hAnsi="Times New Roman" w:cs="Times New Roman"/>
                <w:color w:val="808080" w:themeColor="background1" w:themeShade="80"/>
                <w:sz w:val="20"/>
                <w:szCs w:val="20"/>
              </w:rPr>
              <w:t>.</w:t>
            </w:r>
          </w:p>
        </w:tc>
        <w:tc>
          <w:tcPr>
            <w:tcW w:w="3261"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art.</w:t>
            </w:r>
            <w:proofErr w:type="gramEnd"/>
            <w:r w:rsidRPr="0005176F">
              <w:rPr>
                <w:rFonts w:ascii="Times New Roman" w:hAnsi="Times New Roman" w:cs="Times New Roman"/>
                <w:color w:val="808080" w:themeColor="background1" w:themeShade="80"/>
                <w:sz w:val="20"/>
                <w:szCs w:val="20"/>
              </w:rPr>
              <w:t xml:space="preserve"> 6</w:t>
            </w:r>
            <w:r w:rsidRPr="0005176F">
              <w:rPr>
                <w:rFonts w:ascii="Times New Roman" w:hAnsi="Times New Roman" w:cs="Times New Roman"/>
                <w:color w:val="808080" w:themeColor="background1" w:themeShade="80"/>
                <w:sz w:val="20"/>
                <w:szCs w:val="20"/>
                <w:vertAlign w:val="superscript"/>
              </w:rPr>
              <w:t xml:space="preserve">o </w:t>
            </w:r>
            <w:r w:rsidRPr="0005176F">
              <w:rPr>
                <w:rFonts w:ascii="Times New Roman" w:hAnsi="Times New Roman" w:cs="Times New Roman"/>
                <w:color w:val="808080" w:themeColor="background1" w:themeShade="80"/>
                <w:sz w:val="20"/>
                <w:szCs w:val="20"/>
              </w:rPr>
              <w:t>e art. 7°, II e §1°, da Lei Federal n. 8.666/93</w:t>
            </w:r>
          </w:p>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i) Tratando-se de obras e serviços, anexação de orçamento detalhado em planilhas que expressem a composição de todos os custos unitários do objeto, baseado em pesquisa de preços praticados no mercado, assim como a respectiva pesquisa de preços </w:t>
            </w:r>
            <w:proofErr w:type="gramStart"/>
            <w:r w:rsidRPr="0005176F">
              <w:rPr>
                <w:rFonts w:ascii="Times New Roman" w:hAnsi="Times New Roman" w:cs="Times New Roman"/>
                <w:color w:val="808080" w:themeColor="background1" w:themeShade="80"/>
                <w:sz w:val="20"/>
                <w:szCs w:val="20"/>
              </w:rPr>
              <w:t>realizada</w:t>
            </w:r>
            <w:proofErr w:type="gramEnd"/>
          </w:p>
        </w:tc>
        <w:tc>
          <w:tcPr>
            <w:tcW w:w="326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roofErr w:type="spellStart"/>
            <w:proofErr w:type="gramStart"/>
            <w:r w:rsidRPr="0005176F">
              <w:rPr>
                <w:rFonts w:ascii="Times New Roman" w:hAnsi="Times New Roman" w:cs="Times New Roman"/>
                <w:color w:val="808080" w:themeColor="background1" w:themeShade="80"/>
                <w:sz w:val="20"/>
                <w:szCs w:val="20"/>
              </w:rPr>
              <w:t>arts</w:t>
            </w:r>
            <w:proofErr w:type="spellEnd"/>
            <w:proofErr w:type="gramEnd"/>
            <w:r w:rsidRPr="0005176F">
              <w:rPr>
                <w:rFonts w:ascii="Times New Roman" w:hAnsi="Times New Roman" w:cs="Times New Roman"/>
                <w:color w:val="808080" w:themeColor="background1" w:themeShade="80"/>
                <w:sz w:val="20"/>
                <w:szCs w:val="20"/>
              </w:rPr>
              <w:t>. 7º, § 2º, II, e 43, IV da Lei Federal n. 8.666/93, Instrução Normativa n. 003/2018-SEAD e Instrução Normativa 002/2018-</w:t>
            </w:r>
            <w:proofErr w:type="gramStart"/>
            <w:r w:rsidRPr="0005176F">
              <w:rPr>
                <w:rFonts w:ascii="Times New Roman" w:hAnsi="Times New Roman" w:cs="Times New Roman"/>
                <w:color w:val="808080" w:themeColor="background1" w:themeShade="80"/>
                <w:sz w:val="20"/>
                <w:szCs w:val="20"/>
              </w:rPr>
              <w:t>SEAD</w:t>
            </w:r>
            <w:proofErr w:type="gramEnd"/>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j) No caso de compras e serviços, realização de pesquisa de preços praticados pelo mercado do ramo do objeto da </w:t>
            </w:r>
            <w:proofErr w:type="gramStart"/>
            <w:r w:rsidRPr="0005176F">
              <w:rPr>
                <w:rFonts w:ascii="Times New Roman" w:hAnsi="Times New Roman" w:cs="Times New Roman"/>
                <w:color w:val="808080" w:themeColor="background1" w:themeShade="80"/>
                <w:sz w:val="20"/>
                <w:szCs w:val="20"/>
              </w:rPr>
              <w:t>contratação</w:t>
            </w:r>
            <w:proofErr w:type="gramEnd"/>
          </w:p>
        </w:tc>
        <w:tc>
          <w:tcPr>
            <w:tcW w:w="326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Preço registrado no SIMAS, além de preço extraído de pesquisa mercadológica realizada em conformidade com a IN 002/2018-</w:t>
            </w:r>
            <w:proofErr w:type="gramStart"/>
            <w:r w:rsidRPr="0005176F">
              <w:rPr>
                <w:rFonts w:ascii="Times New Roman" w:hAnsi="Times New Roman" w:cs="Times New Roman"/>
                <w:color w:val="808080" w:themeColor="background1" w:themeShade="80"/>
                <w:sz w:val="20"/>
                <w:szCs w:val="20"/>
              </w:rPr>
              <w:t>SEAD</w:t>
            </w:r>
            <w:proofErr w:type="gramEnd"/>
          </w:p>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roofErr w:type="spellStart"/>
            <w:proofErr w:type="gramStart"/>
            <w:r w:rsidRPr="0005176F">
              <w:rPr>
                <w:rFonts w:ascii="Times New Roman" w:hAnsi="Times New Roman" w:cs="Times New Roman"/>
                <w:color w:val="808080" w:themeColor="background1" w:themeShade="80"/>
                <w:sz w:val="20"/>
                <w:szCs w:val="20"/>
              </w:rPr>
              <w:t>arts</w:t>
            </w:r>
            <w:proofErr w:type="spellEnd"/>
            <w:proofErr w:type="gramEnd"/>
            <w:r w:rsidRPr="0005176F">
              <w:rPr>
                <w:rFonts w:ascii="Times New Roman" w:hAnsi="Times New Roman" w:cs="Times New Roman"/>
                <w:color w:val="808080" w:themeColor="background1" w:themeShade="80"/>
                <w:sz w:val="20"/>
                <w:szCs w:val="20"/>
              </w:rPr>
              <w:t xml:space="preserve">. </w:t>
            </w:r>
            <w:proofErr w:type="gramStart"/>
            <w:r w:rsidRPr="0005176F">
              <w:rPr>
                <w:rFonts w:ascii="Times New Roman" w:hAnsi="Times New Roman" w:cs="Times New Roman"/>
                <w:color w:val="808080" w:themeColor="background1" w:themeShade="80"/>
                <w:sz w:val="20"/>
                <w:szCs w:val="20"/>
              </w:rPr>
              <w:t>15, III</w:t>
            </w:r>
            <w:proofErr w:type="gramEnd"/>
            <w:r w:rsidRPr="0005176F">
              <w:rPr>
                <w:rFonts w:ascii="Times New Roman" w:hAnsi="Times New Roman" w:cs="Times New Roman"/>
                <w:color w:val="808080" w:themeColor="background1" w:themeShade="80"/>
                <w:sz w:val="20"/>
                <w:szCs w:val="20"/>
              </w:rPr>
              <w:t xml:space="preserve"> e 43, IV da Lei Federal 8.666/93; Instrução Normativa/SEAD n. 003/2018, Acórdão n. 55.564-TCE/PA</w:t>
            </w:r>
            <w:r w:rsidRPr="0005176F">
              <w:rPr>
                <w:rStyle w:val="Refdenotaderodap1"/>
                <w:rFonts w:ascii="Times New Roman" w:hAnsi="Times New Roman" w:cs="Times New Roman"/>
                <w:color w:val="808080" w:themeColor="background1" w:themeShade="80"/>
                <w:sz w:val="20"/>
                <w:szCs w:val="20"/>
              </w:rPr>
              <w:footnoteReference w:id="3"/>
            </w:r>
            <w:r w:rsidRPr="0005176F">
              <w:rPr>
                <w:rFonts w:ascii="Times New Roman" w:hAnsi="Times New Roman" w:cs="Times New Roman"/>
                <w:color w:val="808080" w:themeColor="background1" w:themeShade="80"/>
                <w:sz w:val="20"/>
                <w:szCs w:val="20"/>
              </w:rPr>
              <w:t xml:space="preserve"> e Acórdão n. 55.070-TCE/PA</w:t>
            </w:r>
            <w:r w:rsidRPr="0005176F">
              <w:rPr>
                <w:rStyle w:val="Refdenotaderodap1"/>
                <w:rFonts w:ascii="Times New Roman" w:hAnsi="Times New Roman" w:cs="Times New Roman"/>
                <w:color w:val="808080" w:themeColor="background1" w:themeShade="80"/>
                <w:sz w:val="20"/>
                <w:szCs w:val="20"/>
              </w:rPr>
              <w:footnoteReference w:id="4"/>
            </w:r>
          </w:p>
        </w:tc>
        <w:tc>
          <w:tcPr>
            <w:tcW w:w="170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k) No caso de compras e serviços relativos a serviços de Tecnologia de Informação e Telecomunicações, adequação dos produtos aos </w:t>
            </w:r>
            <w:r w:rsidRPr="0005176F">
              <w:rPr>
                <w:rFonts w:ascii="Times New Roman" w:hAnsi="Times New Roman" w:cs="Times New Roman"/>
                <w:color w:val="808080" w:themeColor="background1" w:themeShade="80"/>
                <w:sz w:val="20"/>
                <w:szCs w:val="20"/>
              </w:rPr>
              <w:lastRenderedPageBreak/>
              <w:t xml:space="preserve">Projetos de Tecnologia de Informação e Comunicação (TIC) do Governo do </w:t>
            </w:r>
            <w:proofErr w:type="gramStart"/>
            <w:r w:rsidRPr="0005176F">
              <w:rPr>
                <w:rFonts w:ascii="Times New Roman" w:hAnsi="Times New Roman" w:cs="Times New Roman"/>
                <w:color w:val="808080" w:themeColor="background1" w:themeShade="80"/>
                <w:sz w:val="20"/>
                <w:szCs w:val="20"/>
              </w:rPr>
              <w:t>Pará</w:t>
            </w:r>
            <w:proofErr w:type="gramEnd"/>
          </w:p>
        </w:tc>
        <w:tc>
          <w:tcPr>
            <w:tcW w:w="326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lastRenderedPageBreak/>
              <w:t>Decreto n. 1.489/2016</w:t>
            </w: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lastRenderedPageBreak/>
              <w:t xml:space="preserve">l) No caso de compras e serviços relativos a produtos de Tecnologia de Informação e Telecomunicações que não forem fornecidos pela PRODEPA, realização de análise das especificações técnicas dos produtos realizada pela </w:t>
            </w:r>
            <w:proofErr w:type="gramStart"/>
            <w:r w:rsidRPr="0005176F">
              <w:rPr>
                <w:rFonts w:ascii="Times New Roman" w:hAnsi="Times New Roman" w:cs="Times New Roman"/>
                <w:color w:val="808080" w:themeColor="background1" w:themeShade="80"/>
                <w:sz w:val="20"/>
                <w:szCs w:val="20"/>
              </w:rPr>
              <w:t>empresa</w:t>
            </w:r>
            <w:proofErr w:type="gramEnd"/>
          </w:p>
        </w:tc>
        <w:tc>
          <w:tcPr>
            <w:tcW w:w="326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Decreto n. 1.489/2016</w:t>
            </w: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m) Previsão de recursos orçamentários, com indicação das respectivas </w:t>
            </w:r>
            <w:proofErr w:type="gramStart"/>
            <w:r w:rsidRPr="0005176F">
              <w:rPr>
                <w:rFonts w:ascii="Times New Roman" w:hAnsi="Times New Roman" w:cs="Times New Roman"/>
                <w:color w:val="808080" w:themeColor="background1" w:themeShade="80"/>
                <w:sz w:val="20"/>
                <w:szCs w:val="20"/>
              </w:rPr>
              <w:t>rubricas</w:t>
            </w:r>
            <w:proofErr w:type="gramEnd"/>
          </w:p>
        </w:tc>
        <w:tc>
          <w:tcPr>
            <w:tcW w:w="326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roofErr w:type="spellStart"/>
            <w:proofErr w:type="gramStart"/>
            <w:r w:rsidRPr="0005176F">
              <w:rPr>
                <w:rFonts w:ascii="Times New Roman" w:hAnsi="Times New Roman" w:cs="Times New Roman"/>
                <w:color w:val="808080" w:themeColor="background1" w:themeShade="80"/>
                <w:sz w:val="20"/>
                <w:szCs w:val="20"/>
              </w:rPr>
              <w:t>arts</w:t>
            </w:r>
            <w:proofErr w:type="spellEnd"/>
            <w:proofErr w:type="gramEnd"/>
            <w:r w:rsidRPr="0005176F">
              <w:rPr>
                <w:rFonts w:ascii="Times New Roman" w:hAnsi="Times New Roman" w:cs="Times New Roman"/>
                <w:color w:val="808080" w:themeColor="background1" w:themeShade="80"/>
                <w:sz w:val="20"/>
                <w:szCs w:val="20"/>
              </w:rPr>
              <w:t>. 7º, § 2º, III, 14 e 38, caput, da Lei Federal n.8.666/93.</w:t>
            </w: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n) Em face do valor estimado do objeto, verificação quanto a eventual exclusividade de participação na licitação para Microempresas, Empresas de Pequeno Porte e Sociedades </w:t>
            </w:r>
            <w:proofErr w:type="gramStart"/>
            <w:r w:rsidRPr="0005176F">
              <w:rPr>
                <w:rFonts w:ascii="Times New Roman" w:hAnsi="Times New Roman" w:cs="Times New Roman"/>
                <w:color w:val="808080" w:themeColor="background1" w:themeShade="80"/>
                <w:sz w:val="20"/>
                <w:szCs w:val="20"/>
              </w:rPr>
              <w:t>Cooperativas</w:t>
            </w:r>
            <w:proofErr w:type="gramEnd"/>
            <w:r w:rsidRPr="0005176F">
              <w:rPr>
                <w:rFonts w:ascii="Times New Roman" w:hAnsi="Times New Roman" w:cs="Times New Roman"/>
                <w:color w:val="808080" w:themeColor="background1" w:themeShade="80"/>
                <w:sz w:val="20"/>
                <w:szCs w:val="20"/>
              </w:rPr>
              <w:t xml:space="preserve"> </w:t>
            </w:r>
          </w:p>
        </w:tc>
        <w:tc>
          <w:tcPr>
            <w:tcW w:w="326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art.</w:t>
            </w:r>
            <w:proofErr w:type="gramEnd"/>
            <w:r w:rsidRPr="0005176F">
              <w:rPr>
                <w:rFonts w:ascii="Times New Roman" w:hAnsi="Times New Roman" w:cs="Times New Roman"/>
                <w:color w:val="808080" w:themeColor="background1" w:themeShade="80"/>
                <w:sz w:val="20"/>
                <w:szCs w:val="20"/>
              </w:rPr>
              <w:t xml:space="preserve"> 48, I, da Lei Complementar Federal n. 123/06; art. 34 da Lei Federal n. 11.488/07; e Decreto Estadual n. 878/2008</w:t>
            </w: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o) Observação dos dispositivos legais que dispõem sobre a margem de preferência</w:t>
            </w:r>
          </w:p>
        </w:tc>
        <w:tc>
          <w:tcPr>
            <w:tcW w:w="326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art.</w:t>
            </w:r>
            <w:proofErr w:type="gramEnd"/>
            <w:r w:rsidRPr="0005176F">
              <w:rPr>
                <w:rFonts w:ascii="Times New Roman" w:hAnsi="Times New Roman" w:cs="Times New Roman"/>
                <w:color w:val="808080" w:themeColor="background1" w:themeShade="80"/>
                <w:sz w:val="20"/>
                <w:szCs w:val="20"/>
              </w:rPr>
              <w:t xml:space="preserve"> 3º, §§12 a 15, da Lei Federal n. 8.666/93</w:t>
            </w: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p) Designação da Comissão de Licitação</w:t>
            </w:r>
          </w:p>
        </w:tc>
        <w:tc>
          <w:tcPr>
            <w:tcW w:w="326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art.</w:t>
            </w:r>
            <w:proofErr w:type="gramEnd"/>
            <w:r w:rsidRPr="0005176F">
              <w:rPr>
                <w:rFonts w:ascii="Times New Roman" w:hAnsi="Times New Roman" w:cs="Times New Roman"/>
                <w:color w:val="808080" w:themeColor="background1" w:themeShade="80"/>
                <w:sz w:val="20"/>
                <w:szCs w:val="20"/>
              </w:rPr>
              <w:t xml:space="preserve"> 38, III, da Lei Federal n. 8.666/93</w:t>
            </w: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q) Elaboração de minuta de edital contendo os seguintes anexos:</w:t>
            </w:r>
          </w:p>
          <w:p w:rsidR="0073383B" w:rsidRPr="0005176F" w:rsidRDefault="0073383B" w:rsidP="0073383B">
            <w:pPr>
              <w:widowControl w:val="0"/>
              <w:numPr>
                <w:ilvl w:val="0"/>
                <w:numId w:val="6"/>
              </w:numPr>
              <w:suppressAutoHyphens/>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projeto</w:t>
            </w:r>
            <w:proofErr w:type="gramEnd"/>
            <w:r w:rsidRPr="0005176F">
              <w:rPr>
                <w:rFonts w:ascii="Times New Roman" w:hAnsi="Times New Roman" w:cs="Times New Roman"/>
                <w:color w:val="808080" w:themeColor="background1" w:themeShade="80"/>
                <w:sz w:val="20"/>
                <w:szCs w:val="20"/>
              </w:rPr>
              <w:t xml:space="preserve"> básico, se for o caso; </w:t>
            </w:r>
          </w:p>
          <w:p w:rsidR="0073383B" w:rsidRPr="0005176F" w:rsidRDefault="0073383B" w:rsidP="0073383B">
            <w:pPr>
              <w:widowControl w:val="0"/>
              <w:numPr>
                <w:ilvl w:val="0"/>
                <w:numId w:val="6"/>
              </w:numPr>
              <w:suppressAutoHyphens/>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projeto</w:t>
            </w:r>
            <w:proofErr w:type="gramEnd"/>
            <w:r w:rsidRPr="0005176F">
              <w:rPr>
                <w:rFonts w:ascii="Times New Roman" w:hAnsi="Times New Roman" w:cs="Times New Roman"/>
                <w:color w:val="808080" w:themeColor="background1" w:themeShade="80"/>
                <w:sz w:val="20"/>
                <w:szCs w:val="20"/>
              </w:rPr>
              <w:t xml:space="preserve"> executivo, se for o caso;</w:t>
            </w:r>
          </w:p>
          <w:p w:rsidR="0073383B" w:rsidRPr="0005176F" w:rsidRDefault="0073383B" w:rsidP="0073383B">
            <w:pPr>
              <w:widowControl w:val="0"/>
              <w:numPr>
                <w:ilvl w:val="0"/>
                <w:numId w:val="6"/>
              </w:numPr>
              <w:suppressAutoHyphens/>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termo</w:t>
            </w:r>
            <w:proofErr w:type="gramEnd"/>
            <w:r w:rsidRPr="0005176F">
              <w:rPr>
                <w:rFonts w:ascii="Times New Roman" w:hAnsi="Times New Roman" w:cs="Times New Roman"/>
                <w:color w:val="808080" w:themeColor="background1" w:themeShade="80"/>
                <w:sz w:val="20"/>
                <w:szCs w:val="20"/>
              </w:rPr>
              <w:t xml:space="preserve"> de contrato, se for o caso; e</w:t>
            </w:r>
          </w:p>
          <w:p w:rsidR="0073383B" w:rsidRPr="0005176F" w:rsidRDefault="0073383B" w:rsidP="0073383B">
            <w:pPr>
              <w:widowControl w:val="0"/>
              <w:numPr>
                <w:ilvl w:val="0"/>
                <w:numId w:val="6"/>
              </w:numPr>
              <w:suppressAutoHyphens/>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orçamento</w:t>
            </w:r>
            <w:proofErr w:type="gramEnd"/>
            <w:r w:rsidRPr="0005176F">
              <w:rPr>
                <w:rFonts w:ascii="Times New Roman" w:hAnsi="Times New Roman" w:cs="Times New Roman"/>
                <w:color w:val="808080" w:themeColor="background1" w:themeShade="80"/>
                <w:sz w:val="20"/>
                <w:szCs w:val="20"/>
              </w:rPr>
              <w:t xml:space="preserve"> em planilha de quantitativos e custos unitários, se for o caso.</w:t>
            </w:r>
          </w:p>
        </w:tc>
        <w:tc>
          <w:tcPr>
            <w:tcW w:w="326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art.</w:t>
            </w:r>
            <w:proofErr w:type="gramEnd"/>
            <w:r w:rsidRPr="0005176F">
              <w:rPr>
                <w:rFonts w:ascii="Times New Roman" w:hAnsi="Times New Roman" w:cs="Times New Roman"/>
                <w:color w:val="808080" w:themeColor="background1" w:themeShade="80"/>
                <w:sz w:val="20"/>
                <w:szCs w:val="20"/>
              </w:rPr>
              <w:t xml:space="preserve"> 40 da Lei Federal n. 8.666/93</w:t>
            </w: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r) Verificação dos valores pertinentes à licitação, que devem estar de acordo com a modalidade licitatória prevista no </w:t>
            </w:r>
            <w:proofErr w:type="gramStart"/>
            <w:r w:rsidRPr="0005176F">
              <w:rPr>
                <w:rFonts w:ascii="Times New Roman" w:hAnsi="Times New Roman" w:cs="Times New Roman"/>
                <w:color w:val="808080" w:themeColor="background1" w:themeShade="80"/>
                <w:sz w:val="20"/>
                <w:szCs w:val="20"/>
              </w:rPr>
              <w:t>edital</w:t>
            </w:r>
            <w:proofErr w:type="gramEnd"/>
          </w:p>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tc>
        <w:tc>
          <w:tcPr>
            <w:tcW w:w="3261"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art.</w:t>
            </w:r>
            <w:proofErr w:type="gramEnd"/>
            <w:r w:rsidRPr="0005176F">
              <w:rPr>
                <w:rFonts w:ascii="Times New Roman" w:hAnsi="Times New Roman" w:cs="Times New Roman"/>
                <w:color w:val="808080" w:themeColor="background1" w:themeShade="80"/>
                <w:sz w:val="20"/>
                <w:szCs w:val="20"/>
              </w:rPr>
              <w:t xml:space="preserve"> 23, caput e §1º, da Lei Federal n. 8.666/93; enunciado n. 247 da súmula do TCU.</w:t>
            </w:r>
          </w:p>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O objeto da licitação, em se tratando de obras, serviços e compras, deve ser dividido em tantas parcelas </w:t>
            </w:r>
            <w:proofErr w:type="gramStart"/>
            <w:r w:rsidRPr="0005176F">
              <w:rPr>
                <w:rFonts w:ascii="Times New Roman" w:hAnsi="Times New Roman" w:cs="Times New Roman"/>
                <w:color w:val="808080" w:themeColor="background1" w:themeShade="80"/>
                <w:sz w:val="20"/>
                <w:szCs w:val="20"/>
              </w:rPr>
              <w:t>quantas técnica</w:t>
            </w:r>
            <w:proofErr w:type="gramEnd"/>
            <w:r w:rsidRPr="0005176F">
              <w:rPr>
                <w:rFonts w:ascii="Times New Roman" w:hAnsi="Times New Roman" w:cs="Times New Roman"/>
                <w:color w:val="808080" w:themeColor="background1" w:themeShade="80"/>
                <w:sz w:val="20"/>
                <w:szCs w:val="20"/>
              </w:rPr>
              <w:t xml:space="preserve"> e economicamente viáveis, de modo a proceder ao melhor aproveitamento dos recursos disponíveis no mercado e à ampla competitividade sem perda da economia de escala</w:t>
            </w: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s) Análise e aprovação da minuta de edital e seus anexos pela assessoria jurídica. </w:t>
            </w:r>
          </w:p>
        </w:tc>
        <w:tc>
          <w:tcPr>
            <w:tcW w:w="326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art.</w:t>
            </w:r>
            <w:proofErr w:type="gramEnd"/>
            <w:r w:rsidRPr="0005176F">
              <w:rPr>
                <w:rFonts w:ascii="Times New Roman" w:hAnsi="Times New Roman" w:cs="Times New Roman"/>
                <w:color w:val="808080" w:themeColor="background1" w:themeShade="80"/>
                <w:sz w:val="20"/>
                <w:szCs w:val="20"/>
              </w:rPr>
              <w:t xml:space="preserve"> 38, parágrafo único, da Lei Federal n. 8.666/93</w:t>
            </w: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969"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t) Publicação do aviso de edital </w:t>
            </w:r>
          </w:p>
        </w:tc>
        <w:tc>
          <w:tcPr>
            <w:tcW w:w="326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art.</w:t>
            </w:r>
            <w:proofErr w:type="gramEnd"/>
            <w:r w:rsidRPr="0005176F">
              <w:rPr>
                <w:rFonts w:ascii="Times New Roman" w:hAnsi="Times New Roman" w:cs="Times New Roman"/>
                <w:color w:val="808080" w:themeColor="background1" w:themeShade="80"/>
                <w:sz w:val="20"/>
                <w:szCs w:val="20"/>
              </w:rPr>
              <w:t xml:space="preserve"> 21 da Lei Federal n. 8.666/93</w:t>
            </w: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r>
    </w:tbl>
    <w:p w:rsidR="0073383B" w:rsidRDefault="0073383B">
      <w:pPr>
        <w:spacing w:after="200" w:line="276" w:lineRule="auto"/>
        <w:rPr>
          <w:rFonts w:ascii="Times New Roman" w:hAnsi="Times New Roman" w:cs="Times New Roman"/>
          <w:color w:val="808080" w:themeColor="background1" w:themeShade="80"/>
        </w:rPr>
      </w:pPr>
      <w:bookmarkStart w:id="0" w:name="_GoBack"/>
      <w:bookmarkEnd w:id="0"/>
    </w:p>
    <w:sectPr w:rsidR="0073383B" w:rsidSect="007C24B5">
      <w:headerReference w:type="default" r:id="rId8"/>
      <w:footerReference w:type="default" r:id="rId9"/>
      <w:pgSz w:w="11906" w:h="16838"/>
      <w:pgMar w:top="1985" w:right="42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7AE" w:rsidRDefault="001B07AE" w:rsidP="009C5F18">
      <w:pPr>
        <w:spacing w:after="0" w:line="240" w:lineRule="auto"/>
      </w:pPr>
      <w:r>
        <w:separator/>
      </w:r>
    </w:p>
  </w:endnote>
  <w:endnote w:type="continuationSeparator" w:id="0">
    <w:p w:rsidR="001B07AE" w:rsidRDefault="001B07AE" w:rsidP="009C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28" w:rsidRPr="009C5F18" w:rsidRDefault="00C96D28" w:rsidP="009C5F18">
    <w:pPr>
      <w:pStyle w:val="Rodap"/>
      <w:widowControl w:val="0"/>
      <w:jc w:val="center"/>
      <w:rPr>
        <w:rFonts w:ascii="Times New Roman" w:hAnsi="Times New Roman" w:cs="Times New Roman"/>
        <w:sz w:val="20"/>
        <w:szCs w:val="20"/>
      </w:rPr>
    </w:pPr>
    <w:r w:rsidRPr="009C5F18">
      <w:rPr>
        <w:rFonts w:ascii="Times New Roman" w:hAnsi="Times New Roman" w:cs="Times New Roman"/>
        <w:sz w:val="20"/>
        <w:szCs w:val="20"/>
      </w:rPr>
      <w:t>Rua dos Tamoios, 1671, Batista Campos, Belém-</w:t>
    </w:r>
    <w:proofErr w:type="gramStart"/>
    <w:r w:rsidRPr="009C5F18">
      <w:rPr>
        <w:rFonts w:ascii="Times New Roman" w:hAnsi="Times New Roman" w:cs="Times New Roman"/>
        <w:sz w:val="20"/>
        <w:szCs w:val="20"/>
      </w:rPr>
      <w:t>PA</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7AE" w:rsidRDefault="001B07AE" w:rsidP="009C5F18">
      <w:pPr>
        <w:spacing w:after="0" w:line="240" w:lineRule="auto"/>
      </w:pPr>
      <w:r>
        <w:separator/>
      </w:r>
    </w:p>
  </w:footnote>
  <w:footnote w:type="continuationSeparator" w:id="0">
    <w:p w:rsidR="001B07AE" w:rsidRDefault="001B07AE" w:rsidP="009C5F18">
      <w:pPr>
        <w:spacing w:after="0" w:line="240" w:lineRule="auto"/>
      </w:pPr>
      <w:r>
        <w:continuationSeparator/>
      </w:r>
    </w:p>
  </w:footnote>
  <w:footnote w:id="1">
    <w:p w:rsidR="0073383B" w:rsidRDefault="0073383B" w:rsidP="0073383B">
      <w:r>
        <w:rPr>
          <w:rStyle w:val="Caracteresdenotaderodap"/>
          <w:rFonts w:ascii="Times New Roman" w:hAnsi="Times New Roman"/>
        </w:rPr>
        <w:footnoteRef/>
      </w:r>
    </w:p>
    <w:p w:rsidR="0073383B" w:rsidRPr="00C903F6" w:rsidRDefault="0073383B" w:rsidP="0073383B">
      <w:pPr>
        <w:pageBreakBefore/>
        <w:tabs>
          <w:tab w:val="left" w:pos="284"/>
        </w:tabs>
        <w:spacing w:after="0"/>
        <w:ind w:left="284" w:right="141" w:hanging="284"/>
        <w:jc w:val="both"/>
        <w:rPr>
          <w:rFonts w:ascii="Times New Roman" w:hAnsi="Times New Roman" w:cs="Times New Roman"/>
          <w:sz w:val="16"/>
          <w:szCs w:val="16"/>
        </w:rPr>
      </w:pPr>
      <w:r>
        <w:rPr>
          <w:sz w:val="22"/>
        </w:rPr>
        <w:tab/>
      </w:r>
      <w:r w:rsidRPr="00C903F6">
        <w:rPr>
          <w:rFonts w:ascii="Times New Roman" w:hAnsi="Times New Roman" w:cs="Times New Roman"/>
          <w:sz w:val="16"/>
          <w:szCs w:val="16"/>
        </w:rPr>
        <w:t>“</w:t>
      </w:r>
      <w:r w:rsidRPr="00C903F6">
        <w:rPr>
          <w:rFonts w:ascii="Times New Roman" w:hAnsi="Times New Roman" w:cs="Times New Roman"/>
          <w:i/>
          <w:sz w:val="16"/>
          <w:szCs w:val="16"/>
          <w:highlight w:val="white"/>
        </w:rPr>
        <w:t>As solicitações de materiais e serviços devem ser o documento inicial em processos de aquisição, uma vez que retratam a necessidade dos setores da Unidade. Assim, considerando que a falha não foi justificada em sua totalidade, cabe proposta de determinação a fim de que as solicitações constem do respectivo processo</w:t>
      </w:r>
      <w:r w:rsidRPr="00C903F6">
        <w:rPr>
          <w:rFonts w:ascii="Times New Roman" w:hAnsi="Times New Roman" w:cs="Times New Roman"/>
          <w:sz w:val="16"/>
          <w:szCs w:val="16"/>
        </w:rPr>
        <w:t>” (Acórdão n. 254/2004-2ª Câmara, Rel. Min. Adylson Motta, Processo n. 011.869/2002-2, julgado em 04.03.2004).</w:t>
      </w:r>
    </w:p>
  </w:footnote>
  <w:footnote w:id="2">
    <w:p w:rsidR="0073383B" w:rsidRPr="00C903F6" w:rsidRDefault="0073383B" w:rsidP="0073383B">
      <w:pPr>
        <w:spacing w:after="0"/>
        <w:rPr>
          <w:rFonts w:ascii="Times New Roman" w:hAnsi="Times New Roman" w:cs="Times New Roman"/>
          <w:sz w:val="16"/>
          <w:szCs w:val="16"/>
        </w:rPr>
      </w:pPr>
      <w:r w:rsidRPr="00C903F6">
        <w:rPr>
          <w:rStyle w:val="Caracteresdenotaderodap"/>
          <w:rFonts w:ascii="Times New Roman" w:hAnsi="Times New Roman" w:cs="Times New Roman"/>
          <w:sz w:val="16"/>
          <w:szCs w:val="16"/>
        </w:rPr>
        <w:footnoteRef/>
      </w:r>
      <w:r w:rsidRPr="00C903F6">
        <w:rPr>
          <w:rFonts w:ascii="Times New Roman" w:hAnsi="Times New Roman" w:cs="Times New Roman"/>
          <w:sz w:val="16"/>
          <w:szCs w:val="16"/>
        </w:rPr>
        <w:tab/>
        <w:t xml:space="preserve">Disponível em: </w:t>
      </w:r>
      <w:hyperlink r:id="rId1" w:history="1">
        <w:r w:rsidRPr="00C903F6">
          <w:rPr>
            <w:rStyle w:val="Hyperlink"/>
            <w:rFonts w:ascii="Times New Roman" w:hAnsi="Times New Roman" w:cs="Times New Roman"/>
            <w:sz w:val="16"/>
            <w:szCs w:val="16"/>
          </w:rPr>
          <w:t>http://www.agu.gov.br/page/download/index/id/33733269</w:t>
        </w:r>
      </w:hyperlink>
      <w:r w:rsidRPr="00C903F6">
        <w:rPr>
          <w:rFonts w:ascii="Times New Roman" w:hAnsi="Times New Roman" w:cs="Times New Roman"/>
          <w:sz w:val="16"/>
          <w:szCs w:val="16"/>
        </w:rPr>
        <w:t>, acessado em 20.10.18.</w:t>
      </w:r>
    </w:p>
  </w:footnote>
  <w:footnote w:id="3">
    <w:p w:rsidR="0073383B" w:rsidRPr="00C903F6" w:rsidRDefault="0073383B" w:rsidP="0073383B">
      <w:pPr>
        <w:spacing w:after="0"/>
        <w:ind w:left="284" w:hanging="284"/>
        <w:jc w:val="both"/>
        <w:rPr>
          <w:rFonts w:ascii="Times New Roman" w:hAnsi="Times New Roman" w:cs="Times New Roman"/>
          <w:sz w:val="16"/>
          <w:szCs w:val="16"/>
        </w:rPr>
      </w:pPr>
      <w:r w:rsidRPr="00C903F6">
        <w:rPr>
          <w:rStyle w:val="Caracteresdenotaderodap"/>
          <w:rFonts w:ascii="Times New Roman" w:hAnsi="Times New Roman" w:cs="Times New Roman"/>
          <w:sz w:val="16"/>
          <w:szCs w:val="16"/>
        </w:rPr>
        <w:footnoteRef/>
      </w:r>
      <w:r w:rsidRPr="00C903F6">
        <w:rPr>
          <w:rFonts w:ascii="Times New Roman" w:hAnsi="Times New Roman" w:cs="Times New Roman"/>
          <w:sz w:val="16"/>
          <w:szCs w:val="16"/>
        </w:rPr>
        <w:tab/>
        <w:t>“</w:t>
      </w:r>
      <w:r w:rsidRPr="00C903F6">
        <w:rPr>
          <w:rFonts w:ascii="Times New Roman" w:hAnsi="Times New Roman" w:cs="Times New Roman"/>
          <w:i/>
          <w:sz w:val="16"/>
          <w:szCs w:val="16"/>
        </w:rPr>
        <w:t>Realizar cotação de preços com no mínimo três propostas idôneas, isto é, sem que haja qualquer tipo de vinculação societária ou comercial entre as empresas participantes, ou, ainda, com os dirigentes da associação</w:t>
      </w:r>
      <w:r w:rsidRPr="00C903F6">
        <w:rPr>
          <w:rFonts w:ascii="Times New Roman" w:hAnsi="Times New Roman" w:cs="Times New Roman"/>
          <w:sz w:val="16"/>
          <w:szCs w:val="16"/>
        </w:rPr>
        <w:t>” (Acórdão n. 55.564, Processo n. 2008/52068-9, Rel. Cons. André Teixeira Dias, publicado em 31.05.2016).</w:t>
      </w:r>
    </w:p>
  </w:footnote>
  <w:footnote w:id="4">
    <w:p w:rsidR="0073383B" w:rsidRPr="00C903F6" w:rsidRDefault="0073383B" w:rsidP="0073383B">
      <w:pPr>
        <w:spacing w:after="0"/>
        <w:ind w:left="284" w:hanging="284"/>
        <w:jc w:val="both"/>
        <w:rPr>
          <w:rFonts w:ascii="Times New Roman" w:hAnsi="Times New Roman" w:cs="Times New Roman"/>
          <w:sz w:val="16"/>
          <w:szCs w:val="16"/>
        </w:rPr>
      </w:pPr>
      <w:r w:rsidRPr="00C903F6">
        <w:rPr>
          <w:rStyle w:val="Caracteresdenotaderodap"/>
          <w:rFonts w:ascii="Times New Roman" w:hAnsi="Times New Roman" w:cs="Times New Roman"/>
          <w:sz w:val="16"/>
          <w:szCs w:val="16"/>
        </w:rPr>
        <w:footnoteRef/>
      </w:r>
      <w:r w:rsidRPr="00C903F6">
        <w:rPr>
          <w:rFonts w:ascii="Times New Roman" w:hAnsi="Times New Roman" w:cs="Times New Roman"/>
          <w:sz w:val="16"/>
          <w:szCs w:val="16"/>
        </w:rPr>
        <w:tab/>
        <w:t>“</w:t>
      </w:r>
      <w:r w:rsidRPr="00C903F6">
        <w:rPr>
          <w:rFonts w:ascii="Times New Roman" w:eastAsia="Calibri" w:hAnsi="Times New Roman" w:cs="Times New Roman"/>
          <w:i/>
          <w:sz w:val="16"/>
          <w:szCs w:val="16"/>
          <w:lang w:eastAsia="en-US"/>
        </w:rPr>
        <w:t>Realizar cotação de preço com no mínimo três (3) propostas idôneas, isto é, sem que haja qualquer tipo de vinculação societária ou comercial entre as empresas concorrentes</w:t>
      </w:r>
      <w:r w:rsidRPr="00C903F6">
        <w:rPr>
          <w:rFonts w:ascii="Times New Roman" w:hAnsi="Times New Roman" w:cs="Times New Roman"/>
          <w:sz w:val="16"/>
          <w:szCs w:val="16"/>
        </w:rPr>
        <w:t>” (Acórdão n. 55.070, Processo n. 2012/51696-9, Rel. Cons. André Teixeira Dias, publicado em 22.10.2015).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28" w:rsidRDefault="00C96D28" w:rsidP="009C5F18">
    <w:pPr>
      <w:pStyle w:val="NormalWeb"/>
      <w:widowControl w:val="0"/>
      <w:spacing w:before="0" w:beforeAutospacing="0" w:after="0" w:line="240" w:lineRule="auto"/>
      <w:jc w:val="center"/>
      <w:rPr>
        <w:rFonts w:ascii="Arial" w:hAnsi="Arial" w:cs="Arial"/>
        <w:b/>
        <w:bCs/>
        <w:sz w:val="20"/>
        <w:szCs w:val="20"/>
      </w:rPr>
    </w:pPr>
    <w:r>
      <w:rPr>
        <w:rFonts w:ascii="Arial" w:hAnsi="Arial" w:cs="Arial"/>
        <w:b/>
        <w:bCs/>
        <w:noProof/>
        <w:sz w:val="20"/>
        <w:szCs w:val="20"/>
      </w:rPr>
      <w:drawing>
        <wp:anchor distT="0" distB="0" distL="114300" distR="114300" simplePos="0" relativeHeight="251659264" behindDoc="0" locked="0" layoutInCell="1" allowOverlap="1" wp14:anchorId="167F5624" wp14:editId="2E18586E">
          <wp:simplePos x="0" y="0"/>
          <wp:positionH relativeFrom="column">
            <wp:posOffset>2971743</wp:posOffset>
          </wp:positionH>
          <wp:positionV relativeFrom="paragraph">
            <wp:posOffset>-393700</wp:posOffset>
          </wp:positionV>
          <wp:extent cx="640080" cy="803910"/>
          <wp:effectExtent l="0" t="0" r="762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P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803910"/>
                  </a:xfrm>
                  <a:prstGeom prst="rect">
                    <a:avLst/>
                  </a:prstGeom>
                </pic:spPr>
              </pic:pic>
            </a:graphicData>
          </a:graphic>
          <wp14:sizeRelH relativeFrom="page">
            <wp14:pctWidth>0</wp14:pctWidth>
          </wp14:sizeRelH>
          <wp14:sizeRelV relativeFrom="page">
            <wp14:pctHeight>0</wp14:pctHeight>
          </wp14:sizeRelV>
        </wp:anchor>
      </w:drawing>
    </w:r>
  </w:p>
  <w:p w:rsidR="00C96D28" w:rsidRDefault="00C96D28" w:rsidP="009C5F18">
    <w:pPr>
      <w:pStyle w:val="NormalWeb"/>
      <w:widowControl w:val="0"/>
      <w:spacing w:before="0" w:beforeAutospacing="0" w:after="0" w:line="240" w:lineRule="auto"/>
      <w:jc w:val="center"/>
      <w:rPr>
        <w:rFonts w:ascii="Arial" w:hAnsi="Arial" w:cs="Arial"/>
        <w:b/>
        <w:bCs/>
        <w:sz w:val="20"/>
        <w:szCs w:val="20"/>
      </w:rPr>
    </w:pPr>
  </w:p>
  <w:p w:rsidR="00C96D28" w:rsidRDefault="00C96D28" w:rsidP="009C5F18">
    <w:pPr>
      <w:pStyle w:val="NormalWeb"/>
      <w:widowControl w:val="0"/>
      <w:spacing w:before="0" w:beforeAutospacing="0" w:after="0" w:line="240" w:lineRule="auto"/>
      <w:jc w:val="center"/>
      <w:rPr>
        <w:rFonts w:ascii="Arial" w:hAnsi="Arial" w:cs="Arial"/>
        <w:b/>
        <w:bCs/>
        <w:sz w:val="20"/>
        <w:szCs w:val="20"/>
      </w:rPr>
    </w:pPr>
  </w:p>
  <w:p w:rsidR="00C96D28" w:rsidRPr="009C5F18" w:rsidRDefault="00C96D28" w:rsidP="009C5F18">
    <w:pPr>
      <w:pStyle w:val="NormalWeb"/>
      <w:widowControl w:val="0"/>
      <w:spacing w:before="0" w:beforeAutospacing="0" w:after="0" w:line="240" w:lineRule="auto"/>
      <w:jc w:val="center"/>
      <w:rPr>
        <w:b/>
        <w:bCs/>
        <w:sz w:val="20"/>
        <w:szCs w:val="20"/>
      </w:rPr>
    </w:pPr>
    <w:r w:rsidRPr="009C5F18">
      <w:rPr>
        <w:b/>
        <w:bCs/>
        <w:sz w:val="20"/>
        <w:szCs w:val="20"/>
      </w:rPr>
      <w:t>GOVERNO DO ESTADO DO PARÁ</w:t>
    </w:r>
  </w:p>
  <w:p w:rsidR="00C96D28" w:rsidRPr="009C5F18" w:rsidRDefault="00C96D28" w:rsidP="009C5F18">
    <w:pPr>
      <w:pStyle w:val="NormalWeb"/>
      <w:widowControl w:val="0"/>
      <w:spacing w:before="0" w:beforeAutospacing="0" w:after="0" w:line="240" w:lineRule="auto"/>
      <w:jc w:val="center"/>
    </w:pPr>
    <w:r w:rsidRPr="009C5F18">
      <w:rPr>
        <w:b/>
        <w:bCs/>
        <w:sz w:val="20"/>
        <w:szCs w:val="20"/>
      </w:rPr>
      <w:t>PROCURADORIA-GERAL DO ESTADO</w:t>
    </w:r>
  </w:p>
  <w:p w:rsidR="00C96D28" w:rsidRPr="009C5F18" w:rsidRDefault="00C96D28" w:rsidP="009C5F18">
    <w:pPr>
      <w:pStyle w:val="NormalWeb"/>
      <w:widowControl w:val="0"/>
      <w:spacing w:before="0" w:beforeAutospacing="0" w:after="0" w:line="240" w:lineRule="auto"/>
      <w:jc w:val="center"/>
      <w:rPr>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0"/>
        </w:tabs>
        <w:ind w:left="1121" w:hanging="360"/>
      </w:pPr>
    </w:lvl>
  </w:abstractNum>
  <w:abstractNum w:abstractNumId="1">
    <w:nsid w:val="00000004"/>
    <w:multiLevelType w:val="singleLevel"/>
    <w:tmpl w:val="00000004"/>
    <w:name w:val="WW8Num7"/>
    <w:lvl w:ilvl="0">
      <w:start w:val="1"/>
      <w:numFmt w:val="lowerLetter"/>
      <w:lvlText w:val="(%1)"/>
      <w:lvlJc w:val="left"/>
      <w:pPr>
        <w:tabs>
          <w:tab w:val="num" w:pos="0"/>
        </w:tabs>
        <w:ind w:left="720" w:hanging="360"/>
      </w:pPr>
      <w:rPr>
        <w:rFonts w:hint="default"/>
      </w:rPr>
    </w:lvl>
  </w:abstractNum>
  <w:abstractNum w:abstractNumId="2">
    <w:nsid w:val="00000005"/>
    <w:multiLevelType w:val="singleLevel"/>
    <w:tmpl w:val="00000005"/>
    <w:name w:val="WW8Num9"/>
    <w:lvl w:ilvl="0">
      <w:start w:val="1"/>
      <w:numFmt w:val="lowerLetter"/>
      <w:lvlText w:val="(%1)"/>
      <w:lvlJc w:val="left"/>
      <w:pPr>
        <w:tabs>
          <w:tab w:val="num" w:pos="0"/>
        </w:tabs>
        <w:ind w:left="840" w:hanging="480"/>
      </w:pPr>
      <w:rPr>
        <w:rFonts w:ascii="Times New Roman" w:hAnsi="Times New Roman" w:cs="Times New Roman" w:hint="default"/>
      </w:rPr>
    </w:lvl>
  </w:abstractNum>
  <w:abstractNum w:abstractNumId="3">
    <w:nsid w:val="00000006"/>
    <w:multiLevelType w:val="multilevel"/>
    <w:tmpl w:val="0000000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nsid w:val="00000007"/>
    <w:multiLevelType w:val="multilevel"/>
    <w:tmpl w:val="0000000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nsid w:val="00000008"/>
    <w:multiLevelType w:val="multilevel"/>
    <w:tmpl w:val="0000000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nsid w:val="7149589F"/>
    <w:multiLevelType w:val="multilevel"/>
    <w:tmpl w:val="054A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AA"/>
    <w:rsid w:val="000D75EE"/>
    <w:rsid w:val="001030C3"/>
    <w:rsid w:val="0018232E"/>
    <w:rsid w:val="001B07AE"/>
    <w:rsid w:val="002208BD"/>
    <w:rsid w:val="00334E28"/>
    <w:rsid w:val="0034523A"/>
    <w:rsid w:val="004543EF"/>
    <w:rsid w:val="00463941"/>
    <w:rsid w:val="004831F9"/>
    <w:rsid w:val="004835E3"/>
    <w:rsid w:val="004C2EE9"/>
    <w:rsid w:val="004F0878"/>
    <w:rsid w:val="00560082"/>
    <w:rsid w:val="00564C86"/>
    <w:rsid w:val="005B1CF0"/>
    <w:rsid w:val="005F5FAA"/>
    <w:rsid w:val="00672B66"/>
    <w:rsid w:val="006A4DDF"/>
    <w:rsid w:val="006B1667"/>
    <w:rsid w:val="006B5DE1"/>
    <w:rsid w:val="00720D8F"/>
    <w:rsid w:val="0073383B"/>
    <w:rsid w:val="00763806"/>
    <w:rsid w:val="00766A5D"/>
    <w:rsid w:val="007C24B5"/>
    <w:rsid w:val="008E70BF"/>
    <w:rsid w:val="009C5F18"/>
    <w:rsid w:val="009D46ED"/>
    <w:rsid w:val="009E2F3A"/>
    <w:rsid w:val="00A00212"/>
    <w:rsid w:val="00A016E3"/>
    <w:rsid w:val="00A52A08"/>
    <w:rsid w:val="00A71A3B"/>
    <w:rsid w:val="00B03D4B"/>
    <w:rsid w:val="00BE4DD7"/>
    <w:rsid w:val="00C0053A"/>
    <w:rsid w:val="00C96D28"/>
    <w:rsid w:val="00CD544B"/>
    <w:rsid w:val="00CF7688"/>
    <w:rsid w:val="00D549FA"/>
    <w:rsid w:val="00E147E7"/>
    <w:rsid w:val="00E3254E"/>
    <w:rsid w:val="00E91DDA"/>
    <w:rsid w:val="00EF215C"/>
    <w:rsid w:val="00F111A1"/>
    <w:rsid w:val="00F67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4B5"/>
    <w:pPr>
      <w:spacing w:after="160" w:line="264" w:lineRule="auto"/>
    </w:pPr>
    <w:rPr>
      <w:sz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F5FAA"/>
    <w:pPr>
      <w:spacing w:before="100" w:beforeAutospacing="1" w:after="142" w:line="288"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6B5D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5DE1"/>
    <w:rPr>
      <w:rFonts w:ascii="Tahoma" w:hAnsi="Tahoma" w:cs="Tahoma"/>
      <w:sz w:val="16"/>
      <w:szCs w:val="16"/>
    </w:rPr>
  </w:style>
  <w:style w:type="paragraph" w:styleId="Cabealho">
    <w:name w:val="header"/>
    <w:basedOn w:val="Normal"/>
    <w:link w:val="CabealhoChar"/>
    <w:uiPriority w:val="99"/>
    <w:unhideWhenUsed/>
    <w:rsid w:val="009C5F18"/>
    <w:pPr>
      <w:tabs>
        <w:tab w:val="center" w:pos="4252"/>
        <w:tab w:val="right" w:pos="8504"/>
      </w:tabs>
      <w:spacing w:after="0" w:line="240" w:lineRule="auto"/>
    </w:pPr>
    <w:rPr>
      <w:sz w:val="22"/>
      <w:lang w:eastAsia="en-US"/>
    </w:rPr>
  </w:style>
  <w:style w:type="character" w:customStyle="1" w:styleId="CabealhoChar">
    <w:name w:val="Cabeçalho Char"/>
    <w:basedOn w:val="Fontepargpadro"/>
    <w:link w:val="Cabealho"/>
    <w:uiPriority w:val="99"/>
    <w:rsid w:val="009C5F18"/>
  </w:style>
  <w:style w:type="paragraph" w:styleId="Rodap">
    <w:name w:val="footer"/>
    <w:basedOn w:val="Normal"/>
    <w:link w:val="RodapChar"/>
    <w:uiPriority w:val="99"/>
    <w:unhideWhenUsed/>
    <w:rsid w:val="009C5F18"/>
    <w:pPr>
      <w:tabs>
        <w:tab w:val="center" w:pos="4252"/>
        <w:tab w:val="right" w:pos="8504"/>
      </w:tabs>
      <w:spacing w:after="0" w:line="240" w:lineRule="auto"/>
    </w:pPr>
    <w:rPr>
      <w:sz w:val="22"/>
      <w:lang w:eastAsia="en-US"/>
    </w:rPr>
  </w:style>
  <w:style w:type="character" w:customStyle="1" w:styleId="RodapChar">
    <w:name w:val="Rodapé Char"/>
    <w:basedOn w:val="Fontepargpadro"/>
    <w:link w:val="Rodap"/>
    <w:uiPriority w:val="99"/>
    <w:rsid w:val="009C5F18"/>
  </w:style>
  <w:style w:type="paragraph" w:customStyle="1" w:styleId="Contedodatabela">
    <w:name w:val="Conteúdo da tabela"/>
    <w:basedOn w:val="Normal"/>
    <w:rsid w:val="007C24B5"/>
    <w:pPr>
      <w:suppressLineNumbers/>
      <w:suppressAutoHyphens/>
      <w:spacing w:after="0" w:line="240" w:lineRule="auto"/>
    </w:pPr>
    <w:rPr>
      <w:rFonts w:ascii="Liberation Serif" w:eastAsia="SimSun" w:hAnsi="Liberation Serif" w:cs="Lucida Sans"/>
      <w:kern w:val="1"/>
      <w:sz w:val="24"/>
      <w:szCs w:val="24"/>
      <w:lang w:eastAsia="zh-CN" w:bidi="hi-IN"/>
    </w:rPr>
  </w:style>
  <w:style w:type="paragraph" w:customStyle="1" w:styleId="Corpodetexto22">
    <w:name w:val="Corpo de texto 22"/>
    <w:basedOn w:val="Normal"/>
    <w:rsid w:val="007C24B5"/>
    <w:pPr>
      <w:suppressAutoHyphens/>
      <w:spacing w:after="120" w:line="480" w:lineRule="auto"/>
    </w:pPr>
    <w:rPr>
      <w:rFonts w:ascii="Liberation Serif" w:eastAsia="SimSun" w:hAnsi="Liberation Serif" w:cs="Lucida Sans"/>
      <w:kern w:val="1"/>
      <w:sz w:val="24"/>
      <w:szCs w:val="21"/>
      <w:lang w:eastAsia="zh-CN" w:bidi="hi-IN"/>
    </w:rPr>
  </w:style>
  <w:style w:type="character" w:styleId="nfase">
    <w:name w:val="Emphasis"/>
    <w:basedOn w:val="Fontepargpadro"/>
    <w:qFormat/>
    <w:rsid w:val="00CD544B"/>
    <w:rPr>
      <w:i/>
      <w:iCs/>
      <w:color w:val="1F497D" w:themeColor="text2"/>
    </w:rPr>
  </w:style>
  <w:style w:type="character" w:styleId="Hyperlink">
    <w:name w:val="Hyperlink"/>
    <w:basedOn w:val="Fontepargpadro"/>
    <w:unhideWhenUsed/>
    <w:rsid w:val="00CD544B"/>
    <w:rPr>
      <w:color w:val="0000FF"/>
      <w:u w:val="single"/>
    </w:rPr>
  </w:style>
  <w:style w:type="paragraph" w:customStyle="1" w:styleId="TableContents">
    <w:name w:val="Table Contents"/>
    <w:basedOn w:val="Normal"/>
    <w:rsid w:val="00A00212"/>
    <w:pPr>
      <w:suppressLineNumbers/>
      <w:suppressAutoHyphens/>
      <w:spacing w:after="0" w:line="240" w:lineRule="auto"/>
      <w:textAlignment w:val="baseline"/>
    </w:pPr>
    <w:rPr>
      <w:rFonts w:ascii="Liberation Serif" w:eastAsia="SimSun" w:hAnsi="Liberation Serif" w:cs="Lucida Sans"/>
      <w:kern w:val="1"/>
      <w:sz w:val="24"/>
      <w:szCs w:val="24"/>
      <w:lang w:eastAsia="zh-CN" w:bidi="hi-IN"/>
    </w:rPr>
  </w:style>
  <w:style w:type="character" w:customStyle="1" w:styleId="Caracteresdenotaderodap">
    <w:name w:val="Caracteres de nota de rodapé"/>
    <w:rsid w:val="0073383B"/>
    <w:rPr>
      <w:vertAlign w:val="superscript"/>
    </w:rPr>
  </w:style>
  <w:style w:type="character" w:customStyle="1" w:styleId="Refdenotaderodap1">
    <w:name w:val="Ref. de nota de rodapé1"/>
    <w:rsid w:val="007338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4B5"/>
    <w:pPr>
      <w:spacing w:after="160" w:line="264" w:lineRule="auto"/>
    </w:pPr>
    <w:rPr>
      <w:sz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F5FAA"/>
    <w:pPr>
      <w:spacing w:before="100" w:beforeAutospacing="1" w:after="142" w:line="288"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6B5D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5DE1"/>
    <w:rPr>
      <w:rFonts w:ascii="Tahoma" w:hAnsi="Tahoma" w:cs="Tahoma"/>
      <w:sz w:val="16"/>
      <w:szCs w:val="16"/>
    </w:rPr>
  </w:style>
  <w:style w:type="paragraph" w:styleId="Cabealho">
    <w:name w:val="header"/>
    <w:basedOn w:val="Normal"/>
    <w:link w:val="CabealhoChar"/>
    <w:uiPriority w:val="99"/>
    <w:unhideWhenUsed/>
    <w:rsid w:val="009C5F18"/>
    <w:pPr>
      <w:tabs>
        <w:tab w:val="center" w:pos="4252"/>
        <w:tab w:val="right" w:pos="8504"/>
      </w:tabs>
      <w:spacing w:after="0" w:line="240" w:lineRule="auto"/>
    </w:pPr>
    <w:rPr>
      <w:sz w:val="22"/>
      <w:lang w:eastAsia="en-US"/>
    </w:rPr>
  </w:style>
  <w:style w:type="character" w:customStyle="1" w:styleId="CabealhoChar">
    <w:name w:val="Cabeçalho Char"/>
    <w:basedOn w:val="Fontepargpadro"/>
    <w:link w:val="Cabealho"/>
    <w:uiPriority w:val="99"/>
    <w:rsid w:val="009C5F18"/>
  </w:style>
  <w:style w:type="paragraph" w:styleId="Rodap">
    <w:name w:val="footer"/>
    <w:basedOn w:val="Normal"/>
    <w:link w:val="RodapChar"/>
    <w:uiPriority w:val="99"/>
    <w:unhideWhenUsed/>
    <w:rsid w:val="009C5F18"/>
    <w:pPr>
      <w:tabs>
        <w:tab w:val="center" w:pos="4252"/>
        <w:tab w:val="right" w:pos="8504"/>
      </w:tabs>
      <w:spacing w:after="0" w:line="240" w:lineRule="auto"/>
    </w:pPr>
    <w:rPr>
      <w:sz w:val="22"/>
      <w:lang w:eastAsia="en-US"/>
    </w:rPr>
  </w:style>
  <w:style w:type="character" w:customStyle="1" w:styleId="RodapChar">
    <w:name w:val="Rodapé Char"/>
    <w:basedOn w:val="Fontepargpadro"/>
    <w:link w:val="Rodap"/>
    <w:uiPriority w:val="99"/>
    <w:rsid w:val="009C5F18"/>
  </w:style>
  <w:style w:type="paragraph" w:customStyle="1" w:styleId="Contedodatabela">
    <w:name w:val="Conteúdo da tabela"/>
    <w:basedOn w:val="Normal"/>
    <w:rsid w:val="007C24B5"/>
    <w:pPr>
      <w:suppressLineNumbers/>
      <w:suppressAutoHyphens/>
      <w:spacing w:after="0" w:line="240" w:lineRule="auto"/>
    </w:pPr>
    <w:rPr>
      <w:rFonts w:ascii="Liberation Serif" w:eastAsia="SimSun" w:hAnsi="Liberation Serif" w:cs="Lucida Sans"/>
      <w:kern w:val="1"/>
      <w:sz w:val="24"/>
      <w:szCs w:val="24"/>
      <w:lang w:eastAsia="zh-CN" w:bidi="hi-IN"/>
    </w:rPr>
  </w:style>
  <w:style w:type="paragraph" w:customStyle="1" w:styleId="Corpodetexto22">
    <w:name w:val="Corpo de texto 22"/>
    <w:basedOn w:val="Normal"/>
    <w:rsid w:val="007C24B5"/>
    <w:pPr>
      <w:suppressAutoHyphens/>
      <w:spacing w:after="120" w:line="480" w:lineRule="auto"/>
    </w:pPr>
    <w:rPr>
      <w:rFonts w:ascii="Liberation Serif" w:eastAsia="SimSun" w:hAnsi="Liberation Serif" w:cs="Lucida Sans"/>
      <w:kern w:val="1"/>
      <w:sz w:val="24"/>
      <w:szCs w:val="21"/>
      <w:lang w:eastAsia="zh-CN" w:bidi="hi-IN"/>
    </w:rPr>
  </w:style>
  <w:style w:type="character" w:styleId="nfase">
    <w:name w:val="Emphasis"/>
    <w:basedOn w:val="Fontepargpadro"/>
    <w:qFormat/>
    <w:rsid w:val="00CD544B"/>
    <w:rPr>
      <w:i/>
      <w:iCs/>
      <w:color w:val="1F497D" w:themeColor="text2"/>
    </w:rPr>
  </w:style>
  <w:style w:type="character" w:styleId="Hyperlink">
    <w:name w:val="Hyperlink"/>
    <w:basedOn w:val="Fontepargpadro"/>
    <w:unhideWhenUsed/>
    <w:rsid w:val="00CD544B"/>
    <w:rPr>
      <w:color w:val="0000FF"/>
      <w:u w:val="single"/>
    </w:rPr>
  </w:style>
  <w:style w:type="paragraph" w:customStyle="1" w:styleId="TableContents">
    <w:name w:val="Table Contents"/>
    <w:basedOn w:val="Normal"/>
    <w:rsid w:val="00A00212"/>
    <w:pPr>
      <w:suppressLineNumbers/>
      <w:suppressAutoHyphens/>
      <w:spacing w:after="0" w:line="240" w:lineRule="auto"/>
      <w:textAlignment w:val="baseline"/>
    </w:pPr>
    <w:rPr>
      <w:rFonts w:ascii="Liberation Serif" w:eastAsia="SimSun" w:hAnsi="Liberation Serif" w:cs="Lucida Sans"/>
      <w:kern w:val="1"/>
      <w:sz w:val="24"/>
      <w:szCs w:val="24"/>
      <w:lang w:eastAsia="zh-CN" w:bidi="hi-IN"/>
    </w:rPr>
  </w:style>
  <w:style w:type="character" w:customStyle="1" w:styleId="Caracteresdenotaderodap">
    <w:name w:val="Caracteres de nota de rodapé"/>
    <w:rsid w:val="0073383B"/>
    <w:rPr>
      <w:vertAlign w:val="superscript"/>
    </w:rPr>
  </w:style>
  <w:style w:type="character" w:customStyle="1" w:styleId="Refdenotaderodap1">
    <w:name w:val="Ref. de nota de rodapé1"/>
    <w:rsid w:val="00733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9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gu.gov.br/page/download/index/id/337332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5181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Iêda Fernandes</dc:creator>
  <cp:lastModifiedBy>Iêda Fernandes</cp:lastModifiedBy>
  <cp:revision>4</cp:revision>
  <cp:lastPrinted>2019-03-19T20:37:00Z</cp:lastPrinted>
  <dcterms:created xsi:type="dcterms:W3CDTF">2019-03-19T20:37:00Z</dcterms:created>
  <dcterms:modified xsi:type="dcterms:W3CDTF">2019-03-19T20:37:00Z</dcterms:modified>
</cp:coreProperties>
</file>