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7F3AD" w14:textId="77777777" w:rsidR="00CD544B" w:rsidRPr="0021236F" w:rsidRDefault="00CD544B" w:rsidP="00CD544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3. PREGÃO ELETRÔNICO</w:t>
      </w:r>
    </w:p>
    <w:p w14:paraId="0C6BFB8F" w14:textId="77777777" w:rsidR="00CD544B" w:rsidRPr="0021236F" w:rsidRDefault="00CD544B" w:rsidP="00CD544B">
      <w:pPr>
        <w:widowControl w:val="0"/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3.1 Pregão Eletrônico – Quadro</w:t>
      </w:r>
    </w:p>
    <w:p w14:paraId="259E49E8" w14:textId="77777777" w:rsidR="00CD544B" w:rsidRPr="0021236F" w:rsidRDefault="00CD544B" w:rsidP="00CD544B">
      <w:pPr>
        <w:widowControl w:val="0"/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3.2 Fases do Pregão Eletrônico</w:t>
      </w:r>
    </w:p>
    <w:p w14:paraId="44862285" w14:textId="77777777" w:rsidR="00CD544B" w:rsidRPr="0021236F" w:rsidRDefault="00CD544B" w:rsidP="00CD544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color w:val="808080" w:themeColor="background1" w:themeShade="80"/>
        </w:rPr>
        <w:t>3.2.2 Fase externa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3544"/>
        <w:gridCol w:w="1701"/>
        <w:gridCol w:w="992"/>
      </w:tblGrid>
      <w:tr w:rsidR="00CD544B" w:rsidRPr="0021236F" w14:paraId="73EAA509" w14:textId="77777777" w:rsidTr="00720D8F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72EF7" w14:textId="77777777" w:rsidR="00CD544B" w:rsidRPr="009C1BD7" w:rsidRDefault="00CD544B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1B418" w14:textId="77777777" w:rsidR="00CD544B" w:rsidRPr="009C1BD7" w:rsidRDefault="00CD544B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6A195" w14:textId="77777777" w:rsidR="00720D8F" w:rsidRDefault="00CD544B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 w14:paraId="3051B90E" w14:textId="77777777" w:rsidR="00CD544B" w:rsidRPr="009C1BD7" w:rsidRDefault="00CD544B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352574" w14:textId="77777777" w:rsidR="00CD544B" w:rsidRPr="009C1BD7" w:rsidRDefault="00CD544B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 w:rsidR="00CD544B" w:rsidRPr="0021236F" w14:paraId="63943925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A3891" w14:textId="77777777" w:rsidR="00CD544B" w:rsidRPr="009C1BD7" w:rsidRDefault="00CD544B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a) P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ublicação do aviso de edital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E8D489" w14:textId="55DCBC98" w:rsidR="00CD544B" w:rsidRPr="009C1BD7" w:rsidRDefault="00CD544B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4º, incisos I e II, da Lei </w:t>
            </w:r>
            <w:r w:rsid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 w:rsid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10.520/</w:t>
            </w:r>
            <w:r w:rsid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02;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</w:t>
            </w:r>
            <w:r w:rsid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. </w:t>
            </w:r>
            <w:r w:rsid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º, incisos I e II</w:t>
            </w:r>
            <w:r w:rsid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e 17, inciso XII,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da Lei Estadual n</w:t>
            </w:r>
            <w:r w:rsidR="00AB2B11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6.474/2002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; e </w:t>
            </w:r>
            <w:proofErr w:type="spellStart"/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art</w:t>
            </w:r>
            <w:r w:rsidR="003C0618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. </w:t>
            </w:r>
            <w:r w:rsidR="00AB2B11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8º, inciso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B2B11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XIII, “a”, 20 e 21 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do Decreto </w:t>
            </w:r>
            <w:r w:rsidR="00AB2B11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E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stadual n</w:t>
            </w:r>
            <w:r w:rsidR="00AB2B11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 534/2020</w:t>
            </w:r>
          </w:p>
          <w:p w14:paraId="6A2E7F02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14CB5781" w14:textId="6696BD4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Na modalidade pregão, </w:t>
            </w:r>
            <w:hyperlink r:id="rId7" w:history="1">
              <w:r w:rsidRPr="00AB2B11">
                <w:rPr>
                  <w:rStyle w:val="Hyperlink"/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  <w:u w:val="none"/>
                </w:rPr>
                <w:t>presencial</w:t>
              </w:r>
            </w:hyperlink>
            <w:r w:rsidRP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ou eletrônico, o prazo mínimo entre a publicação do edital e a data do certame é definido pelo art. 4º, </w:t>
            </w:r>
            <w:r w:rsidR="00AB2B11" w:rsidRP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inciso </w:t>
            </w:r>
            <w:r w:rsidRP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V, da </w:t>
            </w:r>
            <w:hyperlink r:id="rId8" w:anchor="_blank" w:history="1">
              <w:r w:rsidRPr="00AB2B11">
                <w:rPr>
                  <w:rStyle w:val="Hyperlink"/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  <w:u w:val="none"/>
                </w:rPr>
                <w:t>Lei</w:t>
              </w:r>
              <w:r w:rsidR="00AB2B11" w:rsidRPr="00AB2B11">
                <w:rPr>
                  <w:rStyle w:val="Hyperlink"/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  <w:u w:val="none"/>
                </w:rPr>
                <w:t xml:space="preserve"> Federal n.</w:t>
              </w:r>
              <w:r w:rsidRPr="00AB2B11">
                <w:rPr>
                  <w:rStyle w:val="Hyperlink"/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  <w:u w:val="none"/>
                </w:rPr>
                <w:t xml:space="preserve"> 10.520/</w:t>
              </w:r>
              <w:r w:rsidR="00AB2B11" w:rsidRPr="00AB2B11">
                <w:rPr>
                  <w:rStyle w:val="Hyperlink"/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  <w:u w:val="none"/>
                </w:rPr>
                <w:t>20</w:t>
              </w:r>
              <w:r w:rsidRPr="00AB2B11">
                <w:rPr>
                  <w:rStyle w:val="Hyperlink"/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  <w:u w:val="none"/>
                </w:rPr>
                <w:t>02</w:t>
              </w:r>
            </w:hyperlink>
            <w:r w:rsidRP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sendo de 8 (oito) dias úteis</w:t>
            </w:r>
            <w:r w:rsid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No mesmo sentido, o art. 25 do Decreto Estadual n. 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8B94B" w14:textId="77777777" w:rsidR="00CD544B" w:rsidRPr="009C1BD7" w:rsidRDefault="00CD544B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194C63" w14:textId="77777777" w:rsidR="00CD544B" w:rsidRPr="009C1BD7" w:rsidRDefault="00CD544B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5DDE5703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12FB6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b) A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companhamento de pedidos de esclarecimentos e/ou impugnações ao edital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028D7" w14:textId="758E611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9º, incisos V e VI</w:t>
            </w:r>
            <w:r w:rsidR="00AB2B1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da Lei Estadual n</w:t>
            </w:r>
            <w:r w:rsidR="00AB2B11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6.474/2002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; e </w:t>
            </w:r>
            <w:proofErr w:type="spellStart"/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 w:rsidR="00AB2B11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 23 e 24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do Decreto </w:t>
            </w:r>
            <w:r w:rsidR="00AB2B11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E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stadual n</w:t>
            </w:r>
            <w:r w:rsidR="00AB2B11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 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BA423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3498FF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1BC959CD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CE8E7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c) A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bertura do pregão eletrônico no sistema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Comprasnet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3FC574" w14:textId="44113CB5" w:rsidR="00CD544B" w:rsidRPr="009C1BD7" w:rsidRDefault="003C0618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4º, inciso VI, da Lei Federal n. 10.520/2002; </w:t>
            </w:r>
            <w:r w:rsidR="006D55F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9º, inciso VII, da Lei Estadual n. 6.474/2002; e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27 do Decreto Estadual n. 534/2020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6BD52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19C5E2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4EF44611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6DA21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d) A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nálise preliminar das propostas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AD07F" w14:textId="51C42362" w:rsidR="00CD544B" w:rsidRPr="009C1BD7" w:rsidRDefault="003C0618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28 do Decreto Estadual n. 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D6DED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FF1C7A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5CA83311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0DA89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e) I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nício da fase de lances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C83E0" w14:textId="397E2CCD" w:rsidR="00CD544B" w:rsidRPr="009C1BD7" w:rsidRDefault="003C0618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30 do Decreto Estadual n. 534/2020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BF481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FFC152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52B6B7FD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BBE992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f) E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ncerramento da etapa de lances e apuração da ordem classificatória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C4A13" w14:textId="17FA8375" w:rsidR="00CD544B" w:rsidRPr="009C1BD7" w:rsidRDefault="003C0618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. 36 e 37 do Decreto Estadual n. 534/2020. 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Devem ser observados os critérios de desempate diferenciados previstos na Lei Complementar Federal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123/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06, Decreto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8.538/2015 e Lei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stadual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8.417/2016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2920C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99935A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5248B1C2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D4C03" w14:textId="76247EF8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g) C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onvocação do licitante provisoriamente classificado em primeiro lugar para </w:t>
            </w:r>
            <w:r w:rsidR="003C061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envio de contraproposta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19E687" w14:textId="46209E40" w:rsidR="00CD544B" w:rsidRPr="009C1BD7" w:rsidRDefault="003C0618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38 do Decreto Estadual n. 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DC845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8E93E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3C0618" w:rsidRPr="0021236F" w14:paraId="6B4A9216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26F8C3" w14:textId="28454538" w:rsidR="003C0618" w:rsidRPr="009C1BD7" w:rsidRDefault="003C0618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h) </w:t>
            </w:r>
            <w:r w:rsidR="003530CD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Julgamento da proposta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2242BB" w14:textId="3E3E5772" w:rsidR="003C0618" w:rsidRDefault="003530CD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39 do Decreto Estadual n. 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6DD5E" w14:textId="77777777" w:rsidR="003C0618" w:rsidRPr="009C1BD7" w:rsidRDefault="003C0618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474C66" w14:textId="77777777" w:rsidR="003C0618" w:rsidRPr="009C1BD7" w:rsidRDefault="003C0618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3530CD" w:rsidRPr="0021236F" w14:paraId="39F83DE8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3AF38" w14:textId="087C275D" w:rsidR="003530CD" w:rsidRPr="009C1BD7" w:rsidRDefault="003530CD" w:rsidP="00D024C8">
            <w:pPr>
              <w:pStyle w:val="Contedodatabela"/>
              <w:widowControl w:val="0"/>
              <w:tabs>
                <w:tab w:val="left" w:pos="733"/>
              </w:tabs>
              <w:snapToGrid w:val="0"/>
              <w:jc w:val="both"/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i) Necessidade de documentos complementares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e/ou apresentação de amostras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5CCFC" w14:textId="6E33CD36" w:rsidR="003530CD" w:rsidRPr="009C1BD7" w:rsidRDefault="003530CD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43, §2º, do Decreto Estadual n. 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45D0FD" w14:textId="77777777" w:rsidR="003530CD" w:rsidRPr="009C1BD7" w:rsidRDefault="003530CD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6F540D" w14:textId="77777777" w:rsidR="003530CD" w:rsidRPr="009C1BD7" w:rsidRDefault="003530CD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63005892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84F32" w14:textId="481FBE3F" w:rsidR="00CD544B" w:rsidRPr="009C1BD7" w:rsidRDefault="003530CD" w:rsidP="00D024C8">
            <w:pPr>
              <w:pStyle w:val="Contedodatabela"/>
              <w:widowControl w:val="0"/>
              <w:tabs>
                <w:tab w:val="left" w:pos="733"/>
              </w:tabs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j</w:t>
            </w:r>
            <w:r w:rsidR="00CD544B"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M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anifestação da unidade técnica acerca da conformidade da documentação e da proposta com os requisitos previstos no edital, inclusive quanto à análise de amostra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30457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A228C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FC1D65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7A469311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2D1AD" w14:textId="14DCD0D2" w:rsidR="00CD544B" w:rsidRPr="009C1BD7" w:rsidRDefault="003530CD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k</w:t>
            </w:r>
            <w:r w:rsidR="00CD544B"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A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ceitação da proposta e habilitação do licitante provisoriamente classificado em primeiro lugar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2A9B9" w14:textId="4B84DD0F" w:rsidR="00CD544B" w:rsidRPr="009C1BD7" w:rsidRDefault="003530CD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43, §8º, do Decreto Estadual n. 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5E9CF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978E9B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2ED891AA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4ED50" w14:textId="2FD56C08" w:rsidR="00CD544B" w:rsidRPr="009C1BD7" w:rsidRDefault="003530CD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l</w:t>
            </w:r>
            <w:r w:rsidR="00CD544B"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Abertura da f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ase recursal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0CC8A" w14:textId="4175EC21" w:rsidR="00CD544B" w:rsidRPr="009C1BD7" w:rsidRDefault="003530CD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44 do Decreto Estadual n. 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037FA1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44435A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62E9FFA4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8E28D" w14:textId="34714611" w:rsidR="00CD544B" w:rsidRPr="009C1BD7" w:rsidRDefault="003530CD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m</w:t>
            </w:r>
            <w:r w:rsidR="00CD544B"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A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djudicação e homologação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8131C" w14:textId="75164AE6" w:rsidR="00CD544B" w:rsidRPr="009C1BD7" w:rsidRDefault="003530CD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. 45 e 46 do Decreto Estadual n. 534/2020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21BD9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F32548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41F62CBE" w14:textId="77777777" w:rsidTr="00720D8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01112B" w14:textId="1FB4614D" w:rsidR="00CD544B" w:rsidRPr="009C1BD7" w:rsidRDefault="00C340F9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) Disponibilização, no portal </w:t>
            </w:r>
            <w:proofErr w:type="spellStart"/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ComprasPará</w:t>
            </w:r>
            <w:proofErr w:type="spellEnd"/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 xml:space="preserve">de todas as informações referentes ao procedimento licitatório, conforme exigido pelo Decreto Estadual </w:t>
            </w:r>
            <w:r w:rsidR="003530C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2.313/2018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C6940" w14:textId="26E1FAD5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>art. 2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o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do Decreto Estadual </w:t>
            </w:r>
            <w:r w:rsidR="003530C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2.313/2018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E92CB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3247B8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C1F5921" w14:textId="77777777" w:rsidR="00D549FA" w:rsidRPr="00CD544B" w:rsidRDefault="00D549FA" w:rsidP="00CD371C"/>
    <w:sectPr w:rsidR="00D549FA" w:rsidRPr="00CD544B" w:rsidSect="007C24B5">
      <w:headerReference w:type="default" r:id="rId9"/>
      <w:footerReference w:type="default" r:id="rId10"/>
      <w:pgSz w:w="11906" w:h="16838"/>
      <w:pgMar w:top="1985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EE5B7" w14:textId="77777777" w:rsidR="00FB37F8" w:rsidRDefault="00FB37F8" w:rsidP="009C5F18">
      <w:pPr>
        <w:spacing w:after="0" w:line="240" w:lineRule="auto"/>
      </w:pPr>
      <w:r>
        <w:separator/>
      </w:r>
    </w:p>
  </w:endnote>
  <w:endnote w:type="continuationSeparator" w:id="0">
    <w:p w14:paraId="3A89E585" w14:textId="77777777" w:rsidR="00FB37F8" w:rsidRDefault="00FB37F8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598BB" w14:textId="77777777" w:rsidR="00C96D28" w:rsidRPr="009C5F18" w:rsidRDefault="00C96D28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B143C" w14:textId="77777777" w:rsidR="00FB37F8" w:rsidRDefault="00FB37F8" w:rsidP="009C5F18">
      <w:pPr>
        <w:spacing w:after="0" w:line="240" w:lineRule="auto"/>
      </w:pPr>
      <w:r>
        <w:separator/>
      </w:r>
    </w:p>
  </w:footnote>
  <w:footnote w:type="continuationSeparator" w:id="0">
    <w:p w14:paraId="786459D8" w14:textId="77777777" w:rsidR="00FB37F8" w:rsidRDefault="00FB37F8" w:rsidP="009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AAC3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EFDAD3" wp14:editId="04AAB117">
          <wp:simplePos x="0" y="0"/>
          <wp:positionH relativeFrom="column">
            <wp:posOffset>2971743</wp:posOffset>
          </wp:positionH>
          <wp:positionV relativeFrom="paragraph">
            <wp:posOffset>-393700</wp:posOffset>
          </wp:positionV>
          <wp:extent cx="640080" cy="8039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4EBFC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2B0DE0D0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4E76633A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14:paraId="2EC995D7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PROCURADORIA-GERAL DO ESTADO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9589F"/>
    <w:multiLevelType w:val="multilevel"/>
    <w:tmpl w:val="054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AA"/>
    <w:rsid w:val="00034A3D"/>
    <w:rsid w:val="000D75EE"/>
    <w:rsid w:val="001030C3"/>
    <w:rsid w:val="002208BD"/>
    <w:rsid w:val="0034523A"/>
    <w:rsid w:val="003530CD"/>
    <w:rsid w:val="00397472"/>
    <w:rsid w:val="003C0618"/>
    <w:rsid w:val="004132A3"/>
    <w:rsid w:val="00443F4B"/>
    <w:rsid w:val="004543EF"/>
    <w:rsid w:val="00463941"/>
    <w:rsid w:val="004831F9"/>
    <w:rsid w:val="004C2EE9"/>
    <w:rsid w:val="004F0878"/>
    <w:rsid w:val="004F2B26"/>
    <w:rsid w:val="00560082"/>
    <w:rsid w:val="00564C86"/>
    <w:rsid w:val="005B1CF0"/>
    <w:rsid w:val="005F5FAA"/>
    <w:rsid w:val="006A4DDF"/>
    <w:rsid w:val="006B1667"/>
    <w:rsid w:val="006B5DE1"/>
    <w:rsid w:val="006D55F7"/>
    <w:rsid w:val="00720D8F"/>
    <w:rsid w:val="00766A5D"/>
    <w:rsid w:val="007935D4"/>
    <w:rsid w:val="007C24B5"/>
    <w:rsid w:val="008E70BF"/>
    <w:rsid w:val="009C5F18"/>
    <w:rsid w:val="009D46ED"/>
    <w:rsid w:val="00A16215"/>
    <w:rsid w:val="00AB2B11"/>
    <w:rsid w:val="00AE712F"/>
    <w:rsid w:val="00BE4DD7"/>
    <w:rsid w:val="00C0053A"/>
    <w:rsid w:val="00C340F9"/>
    <w:rsid w:val="00C96D28"/>
    <w:rsid w:val="00CD371C"/>
    <w:rsid w:val="00CD544B"/>
    <w:rsid w:val="00D549FA"/>
    <w:rsid w:val="00E3254E"/>
    <w:rsid w:val="00E371E4"/>
    <w:rsid w:val="00EF215C"/>
    <w:rsid w:val="00F111A1"/>
    <w:rsid w:val="00F67152"/>
    <w:rsid w:val="00FB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D62F"/>
  <w15:docId w15:val="{BE78A562-3FA2-4079-A5B7-B5FE815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  <w:style w:type="character" w:styleId="nfase">
    <w:name w:val="Emphasis"/>
    <w:basedOn w:val="Fontepargpadro"/>
    <w:qFormat/>
    <w:rsid w:val="00CD544B"/>
    <w:rPr>
      <w:i/>
      <w:iCs/>
      <w:color w:val="1F497D" w:themeColor="text2"/>
    </w:rPr>
  </w:style>
  <w:style w:type="character" w:styleId="Hyperlink">
    <w:name w:val="Hyperlink"/>
    <w:basedOn w:val="Fontepargpadro"/>
    <w:unhideWhenUsed/>
    <w:rsid w:val="00CD5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2002/L1052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annaconsultores.com.br/pr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Fernandes</dc:creator>
  <cp:lastModifiedBy>João Batista Rosa</cp:lastModifiedBy>
  <cp:revision>9</cp:revision>
  <cp:lastPrinted>2019-03-19T19:49:00Z</cp:lastPrinted>
  <dcterms:created xsi:type="dcterms:W3CDTF">2020-07-31T15:03:00Z</dcterms:created>
  <dcterms:modified xsi:type="dcterms:W3CDTF">2020-08-18T19:02:00Z</dcterms:modified>
</cp:coreProperties>
</file>