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</w:t>
        <w:tab/>
        <w:tab/>
        <w:t xml:space="preserve">SISTEMA DE REGISTRO DE PREÇOS </w:t>
      </w:r>
    </w:p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4.1</w:t>
        <w:tab/>
        <w:t>Sistema de Registro de Preços  (SRP) - Quadro</w:t>
      </w:r>
      <w:bookmarkStart w:id="0" w:name="_GoBack"/>
      <w:bookmarkEnd w:id="0"/>
    </w:p>
    <w:p>
      <w:pPr>
        <w:pStyle w:val="Normal"/>
        <w:widowControl w:val="false"/>
        <w:tabs>
          <w:tab w:val="left" w:pos="567" w:leader="none"/>
        </w:tabs>
        <w:spacing w:lineRule="auto" w:line="240" w:before="0" w:after="0"/>
        <w:ind w:left="567" w:hanging="567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b/>
          <w:bCs/>
          <w:color w:val="808080" w:themeColor="background1" w:themeShade="80"/>
        </w:rPr>
        <w:t>4.2</w:t>
        <w:tab/>
        <w:t>Fases do Sistema de Registro de Preços (SRP)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cs="Times New Roman" w:ascii="Times New Roman" w:hAnsi="Times New Roman"/>
          <w:color w:val="808080" w:themeColor="background1" w:themeShade="80"/>
        </w:rPr>
        <w:t>4.2.2 Fase externa</w:t>
        <w:tab/>
      </w:r>
    </w:p>
    <w:tbl>
      <w:tblPr>
        <w:tblW w:w="10065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685"/>
        <w:gridCol w:w="3827"/>
        <w:gridCol w:w="1701"/>
        <w:gridCol w:w="851"/>
      </w:tblGrid>
      <w:tr>
        <w:trPr/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SIM/NÃO/</w:t>
            </w:r>
          </w:p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PREJUDICADO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>
        <w:trPr/>
        <w:tc>
          <w:tcPr>
            <w:tcW w:w="368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a) Realização do procedimento licitatório na modalidade concorrência, do tipo menor preço, ou pregão 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arts.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º, VI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I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e 9º,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do Decreto Estadual </w:t>
            </w:r>
            <w:bookmarkStart w:id="1" w:name="__DdeLink__1765_651590830"/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bookmarkEnd w:id="1"/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Devem ser observadas as regras específicas, a depender da modalidade escolhida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Excepcionalmente, poderá ser adotado, a critério do Órgão Gerenciador e mediante despacho fundamentado da autoridade máxima, o julgamento por técnica e preço, na modalidade concorrência (art. 9º, § 1º,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Na licitação, não é necessário indicar a dotação orçamentária (art. 9º, § 2º,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Após o encerramento da etapa competitiva, os licitantes poderão reduzir seus preços ao valor da proposta do licitante mais bem classificado, o que não prejudicará o resultado do certame em relação a este (art. 12,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e parágrafo único,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Para mais detalhes quanto ao procedimento licitatório, </w:t>
            </w:r>
            <w:r>
              <w:rPr>
                <w:rFonts w:cs="Times New Roman" w:ascii="Times New Roman" w:hAnsi="Times New Roman"/>
                <w:i/>
                <w:iCs/>
                <w:color w:val="808080" w:themeColor="background1" w:themeShade="80"/>
                <w:sz w:val="20"/>
                <w:szCs w:val="20"/>
              </w:rPr>
              <w:t>vide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/>
                <w:iCs/>
                <w:color w:val="808080" w:themeColor="background1" w:themeShade="80"/>
                <w:sz w:val="20"/>
                <w:szCs w:val="20"/>
              </w:rPr>
              <w:t>checklist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 correspondente à moda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l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idade de licitação adotada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68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b) Registro, após a homologação da licitação, na Ata respectiva, dos preços e quantitativos do licitante mais bem classificado durante a fase competitiva 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13, I,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Será incluído na ata, na forma de anexo, segundo a ordem da última proposta apresentada durante a fase competitiva, o registro dos licitantes que aceitarem cotar os bens ou serviços com preços iguais aos do licitante vencedor na sequência da classificação do certame, excluído o percentual referente à margem de preferência, quando o objeto não atender aos requisitos previstos no art. 3º da Lei Federal nº 8.666, de 1993 (cadastro de reserva) (art. 13,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II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É vedado efetuar acréscimos nos quantitativos fixados pela Ata de Registro de Preços, inclusive o acréscimo de que trata o § 1º do art. 65 da Lei Federal nº 8.666, de 1993 (art. 14, § 1º,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065" w:type="dxa"/>
        <w:jc w:val="left"/>
        <w:tblInd w:w="55" w:type="dxa"/>
        <w:tblBorders>
          <w:top w:val="single" w:sz="4" w:space="0" w:color="00000A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969"/>
        <w:gridCol w:w="3544"/>
        <w:gridCol w:w="1701"/>
        <w:gridCol w:w="850"/>
      </w:tblGrid>
      <w:tr>
        <w:trPr/>
        <w:tc>
          <w:tcPr>
            <w:tcW w:w="3969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c) Convocação do fornecedor melhor classificado para assinar a Ata de Registro de Preços, no prazo e nas condições estabelecidos no instrumento convocatório 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art. 15,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O prazo para assinatura pode ser prorrogado uma vez, por igual período, quando solicitado pelo fornecedor e desde que ocorra motivo justificado aceito pela administração (art. 15, </w:t>
            </w:r>
            <w:r>
              <w:rPr>
                <w:rFonts w:cs="Times New Roman" w:ascii="Times New Roman" w:hAnsi="Times New Roman"/>
                <w:i/>
                <w:color w:val="808080" w:themeColor="background1" w:themeShade="80"/>
                <w:sz w:val="20"/>
                <w:szCs w:val="20"/>
              </w:rPr>
              <w:t>caput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Quando o convocado não assinar a Ata de Registro de Preços no prazo e condições estabelecidos, a Administração poderá convocar os licitantes remanescentes, na ordem de classificação, para fazê-lo em igual prazo e nas mesmas condições propos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t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as pelo primeiro classificado (art. 15, parágrafo único,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recusa injustificada do fornecedor classificado em assinar a ata, dentro do prazo, ensejará a aplicação das penalidades legalmente estabelecidas (art. 16, parágrafo único,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  <w:tr>
        <w:trPr/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d) Disponibilização, no portal ComprasPará, de todas as informações referentes ao procedimento licitatório, bem como disponibilização da própria Ata de Registro de Preços, durante sua vigência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art. 2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do Decreto Estadual 2.313/2018 e art. 1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, III,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A Ata, disponibilizada no Portal de Compras do Governo do Estado, poderá ser assinada por certificação digital (art.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 xml:space="preserve">º, §1º, do Decreto Estadual nº 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991/2020</w:t>
            </w: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  <w:t>Os preços registrados serão publicados trimestralmente para orientação da Administração, na imprensa oficial (art. 15, § 2º, da Lei Federal nº 8.666/1993)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808080" w:themeColor="background1" w:themeShade="8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424" w:header="708" w:top="198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 w:val="false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  <w:t>Rua dos Tamoios, 1671, Batista Campos, Belém-PA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  <w:drawing>
        <wp:anchor behindDoc="1" distT="0" distB="0" distL="114300" distR="121920" simplePos="0" locked="0" layoutInCell="1" allowOverlap="1" relativeHeight="3">
          <wp:simplePos x="0" y="0"/>
          <wp:positionH relativeFrom="column">
            <wp:posOffset>3020695</wp:posOffset>
          </wp:positionH>
          <wp:positionV relativeFrom="paragraph">
            <wp:posOffset>-358775</wp:posOffset>
          </wp:positionV>
          <wp:extent cx="640080" cy="803910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GOVERNO DO ESTADO DO PARÁ</w:t>
    </w:r>
  </w:p>
  <w:p>
    <w:pPr>
      <w:pStyle w:val="NormalWeb"/>
      <w:widowControl w:val="false"/>
      <w:spacing w:lineRule="auto" w:line="240" w:beforeAutospacing="0" w:before="0" w:after="0"/>
      <w:jc w:val="center"/>
      <w:rPr>
        <w:b/>
        <w:b/>
        <w:bCs/>
        <w:sz w:val="20"/>
        <w:szCs w:val="20"/>
      </w:rPr>
    </w:pPr>
    <w:r>
      <w:rPr>
        <w:b/>
        <w:bCs/>
        <w:sz w:val="20"/>
        <w:szCs w:val="20"/>
      </w:rPr>
      <w:t>PROCURADORIA-GERAL DO ESTADO</w:t>
    </w:r>
  </w:p>
</w:hdr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24b5"/>
    <w:pPr>
      <w:widowControl/>
      <w:bidi w:val="0"/>
      <w:spacing w:lineRule="auto" w:line="26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1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b5de1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c5f1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c5f18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f5faa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b5d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2"/>
      <w:lang w:eastAsia="en-US"/>
    </w:rPr>
  </w:style>
  <w:style w:type="paragraph" w:styleId="Contedodatabela" w:customStyle="1">
    <w:name w:val="Conteúdo da tabela"/>
    <w:basedOn w:val="Normal"/>
    <w:qFormat/>
    <w:rsid w:val="007c24b5"/>
    <w:pPr>
      <w:suppressLineNumbers/>
      <w:suppressAutoHyphens w:val="true"/>
      <w:spacing w:lineRule="auto" w:line="240" w:before="0" w:after="0"/>
    </w:pPr>
    <w:rPr>
      <w:rFonts w:ascii="Liberation Serif" w:hAnsi="Liberation Serif" w:eastAsia="SimSun" w:cs="Lucida Sans"/>
      <w:kern w:val="2"/>
      <w:sz w:val="24"/>
      <w:szCs w:val="24"/>
      <w:lang w:eastAsia="zh-CN" w:bidi="hi-IN"/>
    </w:rPr>
  </w:style>
  <w:style w:type="paragraph" w:styleId="Corpodetexto22" w:customStyle="1">
    <w:name w:val="Corpo de texto 22"/>
    <w:basedOn w:val="Normal"/>
    <w:qFormat/>
    <w:rsid w:val="007c24b5"/>
    <w:pPr>
      <w:suppressAutoHyphens w:val="true"/>
      <w:spacing w:lineRule="auto" w:line="480" w:before="0" w:after="120"/>
    </w:pPr>
    <w:rPr>
      <w:rFonts w:ascii="Liberation Serif" w:hAnsi="Liberation Serif" w:eastAsia="SimSun" w:cs="Lucida Sans"/>
      <w:kern w:val="2"/>
      <w:sz w:val="24"/>
      <w:szCs w:val="21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LibreOffice/6.0.3.2$Windows_X86_64 LibreOffice_project/8f48d515416608e3a835360314dac7e47fd0b821</Application>
  <Pages>2</Pages>
  <Words>582</Words>
  <Characters>3196</Characters>
  <CharactersWithSpaces>3754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2019-03-19T19:58:00Z</dcterms:created>
  <dc:creator>Iêda Fernandes</dc:creator>
  <dc:description/>
  <dc:language>pt-BR</dc:language>
  <cp:lastModifiedBy/>
  <cp:lastPrinted>2019-03-19T20:00:00Z</cp:lastPrinted>
  <dcterms:modified xsi:type="dcterms:W3CDTF">2020-09-29T12:20:05Z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