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99" w:rsidRDefault="00AE5BA9">
      <w:pPr>
        <w:pBdr>
          <w:bottom w:val="dotted" w:sz="4" w:space="1" w:color="404040"/>
        </w:pBdr>
        <w:tabs>
          <w:tab w:val="left" w:pos="3740"/>
        </w:tabs>
        <w:spacing w:after="480" w:line="276" w:lineRule="auto"/>
        <w:jc w:val="both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Capítulo 5</w:t>
      </w:r>
      <w:r>
        <w:rPr>
          <w:sz w:val="28"/>
          <w:szCs w:val="28"/>
        </w:rPr>
        <w:t xml:space="preserve"> | Termo de referência</w:t>
      </w:r>
    </w:p>
    <w:tbl>
      <w:tblPr>
        <w:tblStyle w:val="a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45"/>
      </w:tblGrid>
      <w:tr w:rsidR="00A91B99">
        <w:tc>
          <w:tcPr>
            <w:tcW w:w="1560" w:type="dxa"/>
            <w:shd w:val="clear" w:color="auto" w:fill="007749"/>
            <w:vAlign w:val="center"/>
          </w:tcPr>
          <w:p w:rsidR="00A91B99" w:rsidRDefault="00AE5BA9">
            <w:pPr>
              <w:spacing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  <w:t>O que é?</w:t>
            </w:r>
          </w:p>
        </w:tc>
        <w:tc>
          <w:tcPr>
            <w:tcW w:w="6945" w:type="dxa"/>
            <w:vAlign w:val="center"/>
          </w:tcPr>
          <w:p w:rsidR="00A91B99" w:rsidRDefault="00AE5BA9">
            <w:pPr>
              <w:spacing w:after="240" w:line="276" w:lineRule="auto"/>
              <w:jc w:val="both"/>
            </w:pPr>
            <w:r>
              <w:t>O Termo de Referência (TR) especifica o que será contratado e os parâmetros da contratação. Ele é utilizado para aquisição de bens e serviços, não sendo aplicado em contratações de obra.</w:t>
            </w:r>
          </w:p>
        </w:tc>
      </w:tr>
      <w:tr w:rsidR="00A91B99">
        <w:tc>
          <w:tcPr>
            <w:tcW w:w="1560" w:type="dxa"/>
            <w:shd w:val="clear" w:color="auto" w:fill="808080"/>
            <w:vAlign w:val="center"/>
          </w:tcPr>
          <w:p w:rsidR="00A91B99" w:rsidRDefault="00AE5BA9">
            <w:pPr>
              <w:spacing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  <w:t>Quem deve</w:t>
            </w:r>
            <w:r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  <w:br/>
              <w:t>elaborar?</w:t>
            </w:r>
          </w:p>
        </w:tc>
        <w:tc>
          <w:tcPr>
            <w:tcW w:w="6945" w:type="dxa"/>
            <w:vAlign w:val="center"/>
          </w:tcPr>
          <w:p w:rsidR="00A91B99" w:rsidRDefault="00AE5BA9">
            <w:pPr>
              <w:spacing w:before="240" w:line="276" w:lineRule="auto"/>
              <w:jc w:val="both"/>
            </w:pPr>
            <w:r>
              <w:t>O setor demandante é o responsável pela elaboração do TR, podendo ser auxiliado por outras unidades administrativas quando envolver conhecimentos técnicos específicos (</w:t>
            </w:r>
            <w:r>
              <w:rPr>
                <w:i/>
              </w:rPr>
              <w:t>exemplo: soluções de tecnologia e informação</w:t>
            </w:r>
            <w:r>
              <w:t>).</w:t>
            </w:r>
          </w:p>
        </w:tc>
      </w:tr>
    </w:tbl>
    <w:p w:rsidR="00A91B99" w:rsidRDefault="00A91B99">
      <w:pPr>
        <w:spacing w:before="480" w:after="80" w:line="276" w:lineRule="auto"/>
        <w:rPr>
          <w:rFonts w:ascii="Quattrocento Sans" w:eastAsia="Quattrocento Sans" w:hAnsi="Quattrocento Sans" w:cs="Quattrocento Sans"/>
          <w:b/>
        </w:rPr>
      </w:pPr>
    </w:p>
    <w:tbl>
      <w:tblPr>
        <w:tblStyle w:val="a0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3793"/>
        <w:gridCol w:w="4252"/>
      </w:tblGrid>
      <w:tr w:rsidR="00A91B99">
        <w:tc>
          <w:tcPr>
            <w:tcW w:w="4253" w:type="dxa"/>
            <w:gridSpan w:val="2"/>
            <w:shd w:val="clear" w:color="auto" w:fill="EB293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O QUE DEVE CONTER?</w:t>
            </w:r>
          </w:p>
        </w:tc>
        <w:tc>
          <w:tcPr>
            <w:tcW w:w="4252" w:type="dxa"/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OBSERVAÇÃO</w:t>
            </w: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93" w:type="dxa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Definição do objeto.</w:t>
            </w:r>
          </w:p>
        </w:tc>
        <w:tc>
          <w:tcPr>
            <w:tcW w:w="4252" w:type="dxa"/>
            <w:vMerge w:val="restart"/>
            <w:shd w:val="clear" w:color="auto" w:fill="FFFFFF"/>
            <w:vAlign w:val="center"/>
          </w:tcPr>
          <w:p w:rsidR="00A91B99" w:rsidRDefault="00AE5BA9">
            <w:pPr>
              <w:spacing w:after="200" w:line="276" w:lineRule="auto"/>
              <w:jc w:val="both"/>
            </w:pPr>
            <w:r>
              <w:t xml:space="preserve">Quando se tratar de </w:t>
            </w:r>
            <w:r>
              <w:rPr>
                <w:b/>
              </w:rPr>
              <w:t>compra de bens</w:t>
            </w:r>
            <w:r>
              <w:t>, o TR deve conter também:</w:t>
            </w:r>
          </w:p>
          <w:p w:rsidR="00A91B99" w:rsidRDefault="00AE5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68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especificação do produto, requisitos de qualidade, rendimento, compatibilidade, durabilidade e segurança.</w:t>
            </w:r>
          </w:p>
          <w:p w:rsidR="00A91B99" w:rsidRDefault="00AE5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68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indicação dos locais de entrega dos produtos e das regras para r</w:t>
            </w:r>
            <w:r>
              <w:rPr>
                <w:rFonts w:ascii="Calibri" w:eastAsia="Calibri" w:hAnsi="Calibri" w:cs="Calibri"/>
              </w:rPr>
              <w:t>ecebimento provisório e definitivo, quando for o caso.</w:t>
            </w:r>
          </w:p>
          <w:p w:rsidR="00A91B99" w:rsidRDefault="00AE5B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68" w:hanging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especificação da garantia exigida e das condições de manutenção e assistência técnica, quando for o caso.</w:t>
            </w: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AC6CB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93" w:type="dxa"/>
            <w:shd w:val="clear" w:color="auto" w:fill="FAC6CB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Fundamentação da contratação.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93" w:type="dxa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Descrição da solução.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AC6CB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93" w:type="dxa"/>
            <w:shd w:val="clear" w:color="auto" w:fill="FAC6CB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Requisitos da contratação.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93" w:type="dxa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Modelo de execução do objeto.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AC6CB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93" w:type="dxa"/>
            <w:shd w:val="clear" w:color="auto" w:fill="FAC6CB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Modelo de gestão do contrato.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93" w:type="dxa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Critérios de medição e pagamento.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AC6CB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93" w:type="dxa"/>
            <w:shd w:val="clear" w:color="auto" w:fill="FAC6CB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Forma e critérios de seleção do fornecedor.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93" w:type="dxa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Estimativas do valor de contratação.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91B99">
        <w:trPr>
          <w:trHeight w:val="60"/>
        </w:trPr>
        <w:tc>
          <w:tcPr>
            <w:tcW w:w="460" w:type="dxa"/>
            <w:shd w:val="clear" w:color="auto" w:fill="FAC6CB"/>
            <w:vAlign w:val="center"/>
          </w:tcPr>
          <w:p w:rsidR="00A91B99" w:rsidRDefault="00AE5BA9">
            <w:pPr>
              <w:spacing w:before="80" w:after="8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93" w:type="dxa"/>
            <w:shd w:val="clear" w:color="auto" w:fill="FAC6CB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Adequação orçamentária.</w:t>
            </w: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91B99" w:rsidRDefault="00A91B99">
      <w:pPr>
        <w:keepNext/>
        <w:spacing w:after="240" w:line="276" w:lineRule="auto"/>
        <w:ind w:firstLine="709"/>
        <w:jc w:val="both"/>
        <w:rPr>
          <w:rFonts w:ascii="Quattrocento Sans" w:eastAsia="Quattrocento Sans" w:hAnsi="Quattrocento Sans" w:cs="Quattrocento Sans"/>
        </w:rPr>
      </w:pPr>
    </w:p>
    <w:p w:rsidR="00A91B99" w:rsidRDefault="00AE5BA9">
      <w:pPr>
        <w:spacing w:before="240" w:after="80" w:line="276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>Abaixo estão os modelos que devem ser seguidos pela administração pública estadual.</w:t>
      </w:r>
    </w:p>
    <w:p w:rsidR="00A91B99" w:rsidRDefault="00AE5BA9">
      <w:pPr>
        <w:spacing w:before="240" w:after="80" w:line="276" w:lineRule="auto"/>
        <w:jc w:val="both"/>
        <w:rPr>
          <w:rFonts w:ascii="Quattrocento Sans" w:eastAsia="Quattrocento Sans" w:hAnsi="Quattrocento Sans" w:cs="Quattrocento Sans"/>
        </w:rPr>
        <w:sectPr w:rsidR="00A91B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1701" w:bottom="1134" w:left="1701" w:header="851" w:footer="1134" w:gutter="0"/>
          <w:pgNumType w:start="25"/>
          <w:cols w:space="720"/>
          <w:titlePg/>
        </w:sectPr>
      </w:pP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</w:p>
    <w:p w:rsidR="00A91B99" w:rsidRDefault="00AE5BA9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bookmarkStart w:id="2" w:name="_heading=h.30j0zll" w:colFirst="0" w:colLast="0"/>
      <w:bookmarkEnd w:id="2"/>
      <w:r>
        <w:rPr>
          <w:rFonts w:ascii="Century Gothic" w:eastAsia="Century Gothic" w:hAnsi="Century Gothic" w:cs="Century Gothic"/>
          <w:b/>
        </w:rPr>
        <w:lastRenderedPageBreak/>
        <w:t>TERMO DE REFERÊNCIA DE BENS COMUNS</w:t>
      </w:r>
    </w:p>
    <w:p w:rsidR="00A91B99" w:rsidRDefault="00AE5BA9">
      <w:pPr>
        <w:spacing w:after="480" w:line="276" w:lineRule="auto"/>
        <w:jc w:val="center"/>
        <w:rPr>
          <w:rFonts w:ascii="Quattrocento Sans" w:eastAsia="Quattrocento Sans" w:hAnsi="Quattrocento Sans" w:cs="Quattrocento Sans"/>
          <w:i/>
          <w:sz w:val="22"/>
          <w:szCs w:val="22"/>
        </w:rPr>
      </w:pPr>
      <w:r>
        <w:rPr>
          <w:rFonts w:ascii="Quattrocento Sans" w:eastAsia="Quattrocento Sans" w:hAnsi="Quattrocento Sans" w:cs="Quattrocento Sans"/>
          <w:i/>
          <w:sz w:val="22"/>
          <w:szCs w:val="22"/>
        </w:rPr>
        <w:t>PAE nº aaaa/nnnn</w:t>
      </w:r>
    </w:p>
    <w:tbl>
      <w:tblPr>
        <w:tblStyle w:val="a1"/>
        <w:tblW w:w="10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677"/>
        <w:gridCol w:w="960"/>
        <w:gridCol w:w="992"/>
        <w:gridCol w:w="565"/>
        <w:gridCol w:w="144"/>
        <w:gridCol w:w="425"/>
        <w:gridCol w:w="567"/>
        <w:gridCol w:w="314"/>
        <w:gridCol w:w="253"/>
        <w:gridCol w:w="426"/>
        <w:gridCol w:w="141"/>
        <w:gridCol w:w="130"/>
        <w:gridCol w:w="977"/>
        <w:gridCol w:w="1610"/>
        <w:gridCol w:w="1523"/>
      </w:tblGrid>
      <w:tr w:rsidR="00A91B99">
        <w:tc>
          <w:tcPr>
            <w:tcW w:w="10472" w:type="dxa"/>
            <w:gridSpan w:val="16"/>
            <w:shd w:val="clear" w:color="auto" w:fill="0F4C81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 xml:space="preserve">1 - O QUE SERÁ CONTRATADO? 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 e i, da Lei Federal nº 14.133/21)</w:t>
            </w:r>
          </w:p>
        </w:tc>
      </w:tr>
      <w:tr w:rsidR="00A91B99">
        <w:trPr>
          <w:trHeight w:val="85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a descrição detalhada dos bens a serem contratados deve ser inserida neste item. A descrição deve evitar que os licitantes ofereçam propostas que não atendam às necessidades da administração pública.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Todas as características do objeto que sejam importantes para a formulação das propostas devem estar descritas, observando a solução prevista no estudo técnico preliminar, com seus quantitativos e unidades de medida (kg, litro, unidade, resma, etc).</w:t>
            </w:r>
          </w:p>
          <w:p w:rsidR="00A91B99" w:rsidRDefault="00AE5BA9">
            <w:pPr>
              <w:spacing w:after="240"/>
              <w:jc w:val="both"/>
              <w:rPr>
                <w:color w:val="4472C4"/>
              </w:rPr>
            </w:pPr>
            <w:r>
              <w:rPr>
                <w:color w:val="4472C4"/>
              </w:rPr>
              <w:t>O valo</w:t>
            </w:r>
            <w:r>
              <w:rPr>
                <w:color w:val="4472C4"/>
              </w:rPr>
              <w:t>r estimado a ser indicado no TR é o mesmo informado no estudo técnico preliminar. Em etapa posterior, a administração pública elaborará o orçamento estimado de acordo com a metodologia definida na legislação. Se o orçamento estimado indicar preços diferent</w:t>
            </w:r>
            <w:r>
              <w:rPr>
                <w:color w:val="4472C4"/>
              </w:rPr>
              <w:t>es do valor constante no estudo técnico preliminar, o TR que comporá o anexo do edital ou da proposta deverá ser retificado.</w:t>
            </w:r>
          </w:p>
        </w:tc>
      </w:tr>
      <w:tr w:rsidR="00A91B99">
        <w:trPr>
          <w:trHeight w:val="85"/>
        </w:trPr>
        <w:tc>
          <w:tcPr>
            <w:tcW w:w="768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Lote</w:t>
            </w:r>
          </w:p>
        </w:tc>
        <w:tc>
          <w:tcPr>
            <w:tcW w:w="677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17" w:type="dxa"/>
            <w:gridSpan w:val="3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50" w:type="dxa"/>
            <w:gridSpan w:val="4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</w:rPr>
              <w:br/>
              <w:t>SIMAS</w:t>
            </w:r>
          </w:p>
        </w:tc>
        <w:tc>
          <w:tcPr>
            <w:tcW w:w="950" w:type="dxa"/>
            <w:gridSpan w:val="4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Und</w:t>
            </w:r>
          </w:p>
        </w:tc>
        <w:tc>
          <w:tcPr>
            <w:tcW w:w="977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610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b/>
              </w:rPr>
              <w:t>Valor Unitário</w:t>
            </w:r>
            <w:r>
              <w:rPr>
                <w:b/>
              </w:rPr>
              <w:br/>
              <w:t>Estimado</w:t>
            </w:r>
          </w:p>
        </w:tc>
        <w:tc>
          <w:tcPr>
            <w:tcW w:w="1523" w:type="dxa"/>
            <w:tcBorders>
              <w:top w:val="single" w:sz="4" w:space="0" w:color="FF0000"/>
              <w:right w:val="single" w:sz="4" w:space="0" w:color="00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91B99">
        <w:trPr>
          <w:trHeight w:val="82"/>
        </w:trPr>
        <w:tc>
          <w:tcPr>
            <w:tcW w:w="768" w:type="dxa"/>
            <w:vMerge w:val="restart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tcBorders>
              <w:right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768" w:type="dxa"/>
            <w:vMerge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768" w:type="dxa"/>
            <w:vMerge w:val="restart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768" w:type="dxa"/>
            <w:vMerge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5665" w:type="dxa"/>
            <w:gridSpan w:val="10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84" w:type="dxa"/>
            <w:gridSpan w:val="5"/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VALOR GLOBAL ESTIMADO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R$ 0,00</w:t>
            </w:r>
          </w:p>
        </w:tc>
      </w:tr>
      <w:tr w:rsidR="00A91B99">
        <w:tc>
          <w:tcPr>
            <w:tcW w:w="10472" w:type="dxa"/>
            <w:gridSpan w:val="16"/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 xml:space="preserve">2 - JUSTIFICATIVA DA NÃO DIVISÃO DO OBJETO EM LOTES E/OU DO AGRUPAMENTO EM GRUPOS 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40, §§ 2° e 3°, da Lei Federal nº 14.133/21)</w:t>
            </w:r>
          </w:p>
        </w:tc>
      </w:tr>
      <w:tr w:rsidR="00A91B99">
        <w:trPr>
          <w:trHeight w:val="123"/>
        </w:trPr>
        <w:tc>
          <w:tcPr>
            <w:tcW w:w="10472" w:type="dxa"/>
            <w:gridSpan w:val="16"/>
            <w:tcBorders>
              <w:bottom w:val="single" w:sz="4" w:space="0" w:color="000000"/>
            </w:tcBorders>
            <w:vAlign w:val="center"/>
          </w:tcPr>
          <w:p w:rsidR="00A91B99" w:rsidRDefault="00A91B99">
            <w:pPr>
              <w:spacing w:line="276" w:lineRule="auto"/>
              <w:jc w:val="both"/>
            </w:pPr>
          </w:p>
          <w:p w:rsidR="00A91B99" w:rsidRDefault="00A91B99">
            <w:pPr>
              <w:spacing w:line="276" w:lineRule="auto"/>
              <w:jc w:val="both"/>
            </w:pPr>
          </w:p>
          <w:p w:rsidR="00A91B99" w:rsidRDefault="00AE5BA9">
            <w:pPr>
              <w:spacing w:line="276" w:lineRule="auto"/>
              <w:jc w:val="center"/>
            </w:pPr>
            <w:r>
              <w:t>(preencher aqui)</w:t>
            </w:r>
          </w:p>
          <w:p w:rsidR="00A91B99" w:rsidRDefault="00A91B99">
            <w:pPr>
              <w:spacing w:line="276" w:lineRule="auto"/>
              <w:jc w:val="both"/>
            </w:pPr>
          </w:p>
          <w:p w:rsidR="00A91B99" w:rsidRDefault="00A91B99">
            <w:pPr>
              <w:spacing w:line="276" w:lineRule="auto"/>
              <w:jc w:val="both"/>
            </w:pPr>
          </w:p>
        </w:tc>
      </w:tr>
      <w:tr w:rsidR="00A91B99">
        <w:trPr>
          <w:trHeight w:val="123"/>
        </w:trPr>
        <w:tc>
          <w:tcPr>
            <w:tcW w:w="10472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lastRenderedPageBreak/>
              <w:t>Nota explicativa</w:t>
            </w:r>
            <w:r>
              <w:rPr>
                <w:color w:val="4472C4"/>
              </w:rPr>
              <w:t>: Entende-se como “lote” a divisão de um único item em diversos objetos licitatórios (lotes) e como “grupo” a aglutinação de diversos itens (que poderiam, em tese, ser licitados autonomamente) para a formação de um único objeto licitatório (grupo).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Em razã</w:t>
            </w:r>
            <w:r>
              <w:rPr>
                <w:color w:val="4472C4"/>
              </w:rPr>
              <w:t>o do princípio do parcelamento, o loteamento é sempre a regra, podendo não ser aplicável somente quando: i) a economia de escala, a redução de custos de gestão de contratos ou a maior vantagem na contratação recomendar a compra do item do mesmo fornecedor;</w:t>
            </w:r>
            <w:r>
              <w:rPr>
                <w:color w:val="4472C4"/>
              </w:rPr>
              <w:t xml:space="preserve"> ii) o objeto a ser contratado configurar sistema único e integrado e houver a possibilidade de risco ao conjunto do objeto pretendido; iii) o processo de padronização ou de escolha de marca levar a fornecedor exclusivo.</w:t>
            </w:r>
          </w:p>
          <w:p w:rsidR="00A91B99" w:rsidRDefault="00AE5BA9">
            <w:pPr>
              <w:spacing w:after="240"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Pela mesmo princípio, o agrupamento</w:t>
            </w:r>
            <w:r>
              <w:rPr>
                <w:color w:val="4472C4"/>
              </w:rPr>
              <w:t xml:space="preserve"> é medida excepcional, devendo sua vantagem técnica e econômica ser justificada nos autos.</w:t>
            </w:r>
          </w:p>
        </w:tc>
      </w:tr>
      <w:tr w:rsidR="00A91B99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3 - DESCRIÇÃO DA SOLUÇÃO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c, da Lei Federal nº 14.133/21)</w:t>
            </w:r>
          </w:p>
        </w:tc>
      </w:tr>
      <w:tr w:rsidR="00A91B99">
        <w:trPr>
          <w:trHeight w:val="1824"/>
        </w:trPr>
        <w:tc>
          <w:tcPr>
            <w:tcW w:w="2405" w:type="dxa"/>
            <w:gridSpan w:val="3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3.1 -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 o motivo 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contratação?</w:t>
            </w:r>
          </w:p>
        </w:tc>
        <w:tc>
          <w:tcPr>
            <w:tcW w:w="8067" w:type="dxa"/>
            <w:gridSpan w:val="13"/>
            <w:shd w:val="clear" w:color="auto" w:fill="FFFFFF"/>
            <w:vAlign w:val="center"/>
          </w:tcPr>
          <w:p w:rsidR="00A91B99" w:rsidRDefault="00AE5BA9">
            <w:pPr>
              <w:spacing w:after="240" w:line="276" w:lineRule="auto"/>
              <w:jc w:val="center"/>
            </w:pPr>
            <w:r>
              <w:t>(preencher aqui)</w:t>
            </w:r>
          </w:p>
        </w:tc>
      </w:tr>
      <w:tr w:rsidR="00A91B99">
        <w:trPr>
          <w:trHeight w:val="1824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 xml:space="preserve">Nota explicativa: </w:t>
            </w:r>
            <w:r>
              <w:rPr>
                <w:color w:val="4472C4"/>
                <w:sz w:val="20"/>
                <w:szCs w:val="20"/>
              </w:rPr>
              <w:t>A</w:t>
            </w:r>
            <w:r>
              <w:rPr>
                <w:color w:val="4472C4"/>
              </w:rPr>
              <w:t xml:space="preserve"> solução foi prevista, em regra, no estudo técnico preliminar e consiste na descrição de todos os bens e serviços necessários para a administração pública resolver o problema (demanda) que gerou a contratação.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Nesse campo, deve haver a descrição do motivo </w:t>
            </w:r>
            <w:r>
              <w:rPr>
                <w:color w:val="4472C4"/>
              </w:rPr>
              <w:t>da solução e o resumo da solução escolhida.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Caso haja alteração da solução definida no estudo técnico preliminar, este é o campo adequado para justificar a alteração.</w:t>
            </w:r>
          </w:p>
        </w:tc>
      </w:tr>
      <w:tr w:rsidR="00A91B99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4 - NATUREZA DO BEM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a, da Lei Federal nº 14.133/21)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Comum.</w:t>
            </w:r>
          </w:p>
          <w:p w:rsidR="00A91B99" w:rsidRDefault="00AE5BA9">
            <w:pPr>
              <w:spacing w:after="80" w:line="276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Especial.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Bens e serviços comuns são aqueles que podem ser definidos mediante padrões de desempenho e qualidade comuns, ou seja, não apresentam singularidades ou dificuldades na definição de suas características e podem ser contratados mediante pregão. Os de natur</w:t>
            </w:r>
            <w:r>
              <w:rPr>
                <w:color w:val="4472C4"/>
              </w:rPr>
              <w:t>eza especial são aqueles que não podem ser definidos dessa forma.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lastRenderedPageBreak/>
              <w:t>Se o bem for especial, o documento que defina o modelo de gestão e de fiscalização do contrato deverá constar em anexo, com todos os elementos previstos no art. 12 do Decreto Estadual 3.813,</w:t>
            </w:r>
            <w:r>
              <w:rPr>
                <w:color w:val="4472C4"/>
              </w:rPr>
              <w:t xml:space="preserve"> de 1º de abril de 2024.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5 - PROVA DE QUALIDADE, RENDIMENTO, DURABILIDADE E SEGURANÇA DO BEM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40, § 1°, I e III, da Lei Federal nº 14.133/21)</w:t>
            </w:r>
          </w:p>
        </w:tc>
      </w:tr>
      <w:tr w:rsidR="00A91B99">
        <w:trPr>
          <w:trHeight w:val="204"/>
        </w:trPr>
        <w:tc>
          <w:tcPr>
            <w:tcW w:w="2405" w:type="dxa"/>
            <w:gridSpan w:val="3"/>
            <w:vMerge w:val="restart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Haverá prova de qualidade?</w:t>
            </w:r>
          </w:p>
        </w:tc>
        <w:tc>
          <w:tcPr>
            <w:tcW w:w="992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A91B99" w:rsidRDefault="00AE5BA9">
            <w:pPr>
              <w:spacing w:before="240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Requisitos de qualidade, rendimento, segurança e durabilidade dos bens/serviços ou amostra poderão ser exigidos, mediante justificativa. 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O contratante poderá exigir certificação de qualidade do produto por instituição credenciada pelo CONMETRO.</w:t>
            </w:r>
          </w:p>
        </w:tc>
      </w:tr>
      <w:tr w:rsidR="00A91B99">
        <w:trPr>
          <w:trHeight w:val="405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DEEBF6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5.2 - </w:t>
            </w:r>
          </w:p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O edital exigirá amostra?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844"/>
        </w:trPr>
        <w:tc>
          <w:tcPr>
            <w:tcW w:w="2405" w:type="dxa"/>
            <w:gridSpan w:val="3"/>
            <w:vMerge w:val="restart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bookmarkStart w:id="3" w:name="_heading=h.1fob9te" w:colFirst="0" w:colLast="0"/>
            <w:bookmarkEnd w:id="3"/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5.3 -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garantia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do bem?</w:t>
            </w:r>
          </w:p>
        </w:tc>
        <w:tc>
          <w:tcPr>
            <w:tcW w:w="8067" w:type="dxa"/>
            <w:gridSpan w:val="13"/>
            <w:tcBorders>
              <w:bottom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De acordo com o estudo técnico preliminar, o contratado deverá prestar garantia dos bens indicados nos itens </w:t>
            </w:r>
            <w:r>
              <w:rPr>
                <w:b/>
              </w:rPr>
              <w:t>X</w:t>
            </w:r>
            <w:r>
              <w:t xml:space="preserve"> e </w:t>
            </w:r>
            <w:r>
              <w:rPr>
                <w:b/>
              </w:rPr>
              <w:t>Y</w:t>
            </w:r>
            <w:r>
              <w:t xml:space="preserve"> por, no mínimo, </w:t>
            </w:r>
            <w:r>
              <w:rPr>
                <w:b/>
              </w:rPr>
              <w:t>N</w:t>
            </w:r>
            <w:r>
              <w:t xml:space="preserve"> meses, a partir do seu recebimento pela contratante.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6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5.4 -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assistência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técnica?</w:t>
            </w:r>
          </w:p>
        </w:tc>
        <w:tc>
          <w:tcPr>
            <w:tcW w:w="8067" w:type="dxa"/>
            <w:gridSpan w:val="13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De acordo com o estudo técnico preliminar, o contratado prestará assistência técnica em relação aos bens indicados nos itens </w:t>
            </w:r>
            <w:r>
              <w:rPr>
                <w:b/>
              </w:rPr>
              <w:t>X</w:t>
            </w:r>
            <w:r>
              <w:t xml:space="preserve"> e </w:t>
            </w:r>
            <w:r>
              <w:rPr>
                <w:b/>
              </w:rPr>
              <w:t>Y</w:t>
            </w:r>
            <w:r>
              <w:t xml:space="preserve">, durante </w:t>
            </w:r>
            <w:r>
              <w:rPr>
                <w:b/>
              </w:rPr>
              <w:t>N</w:t>
            </w:r>
            <w:r>
              <w:t xml:space="preserve"> meses, a partir do seu recebimento pela contratante, </w:t>
            </w:r>
            <w:r>
              <w:rPr>
                <w:i/>
              </w:rPr>
              <w:t>por meio de empresa credenciada contratada por ele</w:t>
            </w:r>
            <w:r>
              <w:t>, sem custo para a administração pública.</w:t>
            </w:r>
          </w:p>
        </w:tc>
      </w:tr>
      <w:tr w:rsidR="00A91B99">
        <w:trPr>
          <w:trHeight w:val="6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De acordo com o estudo técnico preliminar, o contratado prestará assistência técnica em relação aos bens indicados nos itens </w:t>
            </w:r>
            <w:r>
              <w:rPr>
                <w:b/>
              </w:rPr>
              <w:t>X</w:t>
            </w:r>
            <w:r>
              <w:t xml:space="preserve"> e </w:t>
            </w:r>
            <w:r>
              <w:rPr>
                <w:b/>
              </w:rPr>
              <w:t>Y</w:t>
            </w:r>
            <w:r>
              <w:t xml:space="preserve">, durante </w:t>
            </w:r>
            <w:r>
              <w:rPr>
                <w:b/>
              </w:rPr>
              <w:t>N</w:t>
            </w:r>
            <w:r>
              <w:t xml:space="preserve"> meses, a partir do seu recebimento pela contratante, </w:t>
            </w:r>
            <w:r>
              <w:rPr>
                <w:i/>
              </w:rPr>
              <w:t>por meios próprios</w:t>
            </w:r>
            <w:r>
              <w:t>, sem custo para a administração pública.</w:t>
            </w:r>
          </w:p>
        </w:tc>
      </w:tr>
      <w:tr w:rsidR="00A91B99">
        <w:trPr>
          <w:trHeight w:val="592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será prestada assistência técnica em relação aos itens </w:t>
            </w:r>
            <w:r>
              <w:rPr>
                <w:b/>
              </w:rPr>
              <w:t>X</w:t>
            </w:r>
            <w:r>
              <w:t xml:space="preserve"> e </w:t>
            </w:r>
            <w:r>
              <w:rPr>
                <w:b/>
              </w:rPr>
              <w:t>Y</w:t>
            </w:r>
            <w:r>
              <w:t>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6 - CRITÉRIOS DE SELEÇÃO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h, da Lei Federal nº 14.133/21)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explicativa:</w:t>
            </w:r>
            <w:r>
              <w:rPr>
                <w:rFonts w:ascii="Quattrocento Sans" w:eastAsia="Quattrocento Sans" w:hAnsi="Quattrocento Sans" w:cs="Quattrocento Sans"/>
                <w:i/>
                <w:color w:val="4472C4"/>
              </w:rPr>
              <w:t xml:space="preserve"> </w:t>
            </w:r>
            <w:r>
              <w:rPr>
                <w:color w:val="4472C4"/>
              </w:rPr>
              <w:t xml:space="preserve">O termo de referência deve prever os critérios e regras da fase competitiva da licitação, as quais servirão de base para a elaboração do edital e do contrato. Por isso, ele indicará a modalidade </w:t>
            </w:r>
            <w:r>
              <w:rPr>
                <w:color w:val="4472C4"/>
              </w:rPr>
              <w:lastRenderedPageBreak/>
              <w:t>licitatória escolhida para a contratação (pregão, por exemplo</w:t>
            </w:r>
            <w:r>
              <w:rPr>
                <w:color w:val="4472C4"/>
              </w:rPr>
              <w:t>) ou informar se será contratação direta por dispensa ou inexigibilidade.</w:t>
            </w:r>
          </w:p>
        </w:tc>
      </w:tr>
      <w:tr w:rsidR="00A91B99">
        <w:trPr>
          <w:trHeight w:val="197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>6.1 -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4472C4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forma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contratação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Inexigibilidade</w:t>
            </w:r>
            <w:r>
              <w:t xml:space="preserve"> de licitação, com fundamento no art. 74, </w:t>
            </w:r>
            <w:r>
              <w:rPr>
                <w:b/>
              </w:rPr>
              <w:t>Y</w:t>
            </w:r>
            <w:r>
              <w:t>, da Lei Federal nº 14.133/21.</w:t>
            </w:r>
          </w:p>
        </w:tc>
      </w:tr>
      <w:tr w:rsidR="00A91B99">
        <w:trPr>
          <w:trHeight w:val="175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Dispensa</w:t>
            </w:r>
            <w:r>
              <w:t xml:space="preserve"> de licitação em razão do </w:t>
            </w:r>
            <w:r>
              <w:rPr>
                <w:b/>
              </w:rPr>
              <w:t>valor</w:t>
            </w:r>
            <w:r>
              <w:t>, com fundamento no art. 75, II, da Lei Federal nº 14.133/21.</w:t>
            </w:r>
          </w:p>
        </w:tc>
      </w:tr>
      <w:tr w:rsidR="00A91B99">
        <w:trPr>
          <w:trHeight w:val="175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Dispensa</w:t>
            </w:r>
            <w:r>
              <w:t xml:space="preserve"> de licitação, com fundamento no art. 75, </w:t>
            </w:r>
            <w:r>
              <w:rPr>
                <w:b/>
              </w:rPr>
              <w:t>Y</w:t>
            </w:r>
            <w:r>
              <w:t>, da Lei Federal nº 14.133/21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Pregão eletrônico.</w:t>
            </w:r>
          </w:p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Concorrência.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6.2 -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critério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julgamento</w:t>
            </w:r>
          </w:p>
        </w:tc>
        <w:tc>
          <w:tcPr>
            <w:tcW w:w="8067" w:type="dxa"/>
            <w:gridSpan w:val="13"/>
            <w:tcBorders>
              <w:bottom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Menor preço.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Maior desconto.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Critério de julgamento é aquele utilizado para selecionar a proposta mais vantajosa. Em se tratando de bens e serviços comuns, pode ser o menor preço ou maior desconto.</w:t>
            </w:r>
          </w:p>
        </w:tc>
      </w:tr>
      <w:tr w:rsidR="00A91B99">
        <w:trPr>
          <w:trHeight w:val="593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6.3 -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O orçamento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estimado é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sigiloso?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592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6.4 -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Critério para 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proposta ser aceita</w:t>
            </w:r>
          </w:p>
        </w:tc>
        <w:tc>
          <w:tcPr>
            <w:tcW w:w="8067" w:type="dxa"/>
            <w:gridSpan w:val="13"/>
            <w:tcBorders>
              <w:bottom w:val="single" w:sz="4" w:space="0" w:color="000000"/>
            </w:tcBorders>
            <w:vAlign w:val="center"/>
          </w:tcPr>
          <w:p w:rsidR="00A91B99" w:rsidRDefault="00AE5BA9">
            <w:pPr>
              <w:spacing w:after="240" w:line="276" w:lineRule="auto"/>
              <w:jc w:val="both"/>
            </w:pPr>
            <w:r>
              <w:t>A proposta deve observar os valores unitários e global máximos aceitáveis conforme planilha de composição de preços do orçamento estimado.</w:t>
            </w:r>
          </w:p>
        </w:tc>
      </w:tr>
      <w:tr w:rsidR="00A91B99">
        <w:trPr>
          <w:trHeight w:val="1433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6.5 -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itens com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participação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exclusiva para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microempresas e empresa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pequeno porte?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Indicar os itens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1139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vAlign w:val="center"/>
          </w:tcPr>
          <w:p w:rsidR="00A91B99" w:rsidRDefault="00AE5BA9">
            <w:pPr>
              <w:spacing w:after="12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1139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O tratamento diferenciado para microempresas (ME) e empresa de pequeno porte (EPP) deve ser realizado a partir da: i) licitação exclusiva quando um item ou lote não ultrapassar R$ 80.000,00; </w:t>
            </w:r>
            <w:r>
              <w:rPr>
                <w:color w:val="4472C4"/>
              </w:rPr>
              <w:lastRenderedPageBreak/>
              <w:t>ii) estabelecimento, em certames para aquisição de bens de natu</w:t>
            </w:r>
            <w:r>
              <w:rPr>
                <w:color w:val="4472C4"/>
              </w:rPr>
              <w:t>reza divisível, de cota de até 25% (vinte e cinco por cento) do objeto (Lei Complementar nº 123, de 14 de dezembro de 2006, art. 48, I e III).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7 - REQUISITOS DA CONTRATADA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d, da Lei Federal nº 14.133/21)</w:t>
            </w:r>
          </w:p>
        </w:tc>
      </w:tr>
      <w:tr w:rsidR="00A91B99">
        <w:trPr>
          <w:trHeight w:val="248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Os requisitos da contratação também estão no estudo técnico preliminar e se referem ao atendimento das necessidades; critérios e práticas de sustentabilidade que podem constar das especificações técnicas dos produtos e serviços ou das obrigações da contr</w:t>
            </w:r>
            <w:r>
              <w:rPr>
                <w:color w:val="4472C4"/>
              </w:rPr>
              <w:t>atada; requisitos específicos de habilitação técnica; identificação das soluções existentes no mercado, como produtos, fornecedores, fabricantes, etc.</w:t>
            </w:r>
          </w:p>
          <w:p w:rsidR="00A91B99" w:rsidRDefault="00AE5BA9">
            <w:pPr>
              <w:spacing w:after="240"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O Termo de Referência estabelecerá os seguintes critérios:</w:t>
            </w:r>
          </w:p>
          <w:p w:rsidR="00A91B99" w:rsidRDefault="00AE5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Habilitação Jurídica e Regularidade Fiscal: O TR indicará os requisitos legais que as empresas devem atender para participar do processo licitatório. Em regra, a habilitação jurídica é comprovada pela inscrição no SICAF sem pendências para a participação e</w:t>
            </w:r>
            <w:r>
              <w:rPr>
                <w:rFonts w:ascii="Calibri" w:eastAsia="Calibri" w:hAnsi="Calibri" w:cs="Calibri"/>
                <w:color w:val="4472C4"/>
              </w:rPr>
              <w:t>m licitação ou contratação. Caso o objeto a ser contrato demande outros documentos ou informações, estes precisam estar descritos no TR, com a correspondente justificativa.</w:t>
            </w:r>
          </w:p>
          <w:p w:rsidR="00A91B99" w:rsidRDefault="00AE5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Qualificação Econômico-Financeira: O TR definirá os critérios para avaliar a capaci</w:t>
            </w:r>
            <w:r>
              <w:rPr>
                <w:rFonts w:ascii="Calibri" w:eastAsia="Calibri" w:hAnsi="Calibri" w:cs="Calibri"/>
                <w:color w:val="4472C4"/>
              </w:rPr>
              <w:t>dade financeira das empresas concorrentes. Essa análise considera aspectos como patrimônio líquido, capital social, capacidade de pagamento e saúde financeira da empresa.</w:t>
            </w:r>
          </w:p>
          <w:p w:rsidR="00A91B99" w:rsidRDefault="00AE5B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Qualificação Técnica: O TR também estabelecerá os requisitos técnicos que as empresas</w:t>
            </w:r>
            <w:r>
              <w:rPr>
                <w:rFonts w:ascii="Calibri" w:eastAsia="Calibri" w:hAnsi="Calibri" w:cs="Calibri"/>
                <w:color w:val="4472C4"/>
              </w:rPr>
              <w:t xml:space="preserve"> devem atender. Esses critérios devem ser previstos no próprio termo de referência.</w:t>
            </w:r>
          </w:p>
        </w:tc>
      </w:tr>
      <w:tr w:rsidR="00A91B99">
        <w:trPr>
          <w:trHeight w:val="248"/>
        </w:trPr>
        <w:tc>
          <w:tcPr>
            <w:tcW w:w="2405" w:type="dxa"/>
            <w:gridSpan w:val="3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7.1 -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Qual será a habilitação jurídica exigida?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Comprovação de existência jurídica.</w:t>
            </w:r>
          </w:p>
          <w:p w:rsidR="00A91B99" w:rsidRDefault="00AE5BA9">
            <w:pPr>
              <w:spacing w:before="80" w:after="80" w:line="276" w:lineRule="auto"/>
              <w:jc w:val="both"/>
              <w:rPr>
                <w:i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Autorização para o exercício da atividade.</w:t>
            </w:r>
          </w:p>
        </w:tc>
      </w:tr>
      <w:tr w:rsidR="00A91B99">
        <w:trPr>
          <w:trHeight w:val="24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A habilitação jurídica usualmente é comprovada com a apresentação de inscrição no Cadastro Nacional de Pessoas Jurídicas (CNPJ).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A autorização para o exercício de atividade somente deverá ser exigida se houver fundamento legal.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Ex. A compra de medicament</w:t>
            </w:r>
            <w:r>
              <w:rPr>
                <w:color w:val="4472C4"/>
              </w:rPr>
              <w:t xml:space="preserve">o exige registro do vendedor na Vigilância Sanitária.  </w:t>
            </w:r>
          </w:p>
        </w:tc>
      </w:tr>
      <w:tr w:rsidR="00A91B99">
        <w:trPr>
          <w:trHeight w:val="248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7.2 -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Será exigida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habilitação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técnica?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1134" w:type="dxa"/>
            <w:gridSpan w:val="3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>Qual?</w:t>
            </w:r>
          </w:p>
        </w:tc>
        <w:tc>
          <w:tcPr>
            <w:tcW w:w="5941" w:type="dxa"/>
            <w:gridSpan w:val="9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i/>
              </w:rPr>
            </w:pPr>
            <w:r>
              <w:rPr>
                <w:i/>
              </w:rPr>
              <w:t>(Especificar a exigência, caso se assinale “sim”)</w:t>
            </w:r>
          </w:p>
        </w:tc>
      </w:tr>
      <w:tr w:rsidR="00A91B99">
        <w:trPr>
          <w:trHeight w:val="247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FF0000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>Por que?</w:t>
            </w:r>
          </w:p>
        </w:tc>
        <w:tc>
          <w:tcPr>
            <w:tcW w:w="594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i/>
              </w:rPr>
            </w:pP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45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000000"/>
            </w:tcBorders>
            <w:shd w:val="clear" w:color="auto" w:fill="FFFFFF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204"/>
        </w:trPr>
        <w:tc>
          <w:tcPr>
            <w:tcW w:w="10472" w:type="dxa"/>
            <w:gridSpan w:val="1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lastRenderedPageBreak/>
              <w:t>Nota explicativa</w:t>
            </w:r>
            <w:r>
              <w:rPr>
                <w:color w:val="4472C4"/>
              </w:rPr>
              <w:t>: Quando houver critérios de habilitação técnica, eles devem ser descritos.</w:t>
            </w:r>
          </w:p>
          <w:p w:rsidR="00A91B99" w:rsidRDefault="00AE5BA9">
            <w:pPr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Não se deve confundir critério de habilitação técnica com qualificação técnica dos bens e serviços. </w:t>
            </w:r>
          </w:p>
          <w:p w:rsidR="00A91B99" w:rsidRDefault="00AE5BA9">
            <w:pPr>
              <w:spacing w:after="240"/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A habilitação técnica é uma condição do profissional que prestará o serviço. Exemplo: para a contratação de empresa para aplicação de vacinas, o contratado deve demonstrar que possui pessoal habilitado na área da enfermagem para a execução da tarefa. </w:t>
            </w:r>
          </w:p>
        </w:tc>
      </w:tr>
      <w:tr w:rsidR="00A91B99">
        <w:trPr>
          <w:trHeight w:val="204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  <w:right w:val="single" w:sz="4" w:space="0" w:color="000000"/>
            </w:tcBorders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7.3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 -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Qualificações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técnicas exigidas</w:t>
            </w:r>
          </w:p>
        </w:tc>
        <w:tc>
          <w:tcPr>
            <w:tcW w:w="3827" w:type="dxa"/>
            <w:gridSpan w:val="9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Declaração de ciência das informações necessárias para o cumprimento da futura obrigação contratual.</w:t>
            </w:r>
          </w:p>
        </w:tc>
        <w:tc>
          <w:tcPr>
            <w:tcW w:w="4240" w:type="dxa"/>
            <w:gridSpan w:val="4"/>
            <w:tcBorders>
              <w:top w:val="single" w:sz="4" w:space="0" w:color="FF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  <w:r>
              <w:rPr>
                <w:i/>
              </w:rPr>
              <w:t xml:space="preserve"> </w:t>
            </w:r>
          </w:p>
        </w:tc>
      </w:tr>
      <w:tr w:rsidR="00A91B99">
        <w:trPr>
          <w:trHeight w:val="202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right w:val="single" w:sz="4" w:space="0" w:color="00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20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Registro na entidade profissional competente.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202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right w:val="single" w:sz="4" w:space="0" w:color="00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Indicação de pessoal técnico, instalações e aparelhamento para o cumprimento da futura obrigação contratual com a comprovação de qualificação técnica de cada membro da equipe técnica responsável pela execução dos trabalhos.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555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right w:val="single" w:sz="4" w:space="0" w:color="00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Outro previsto em lei especial. </w:t>
            </w:r>
          </w:p>
          <w:p w:rsidR="00A91B99" w:rsidRDefault="00AE5BA9">
            <w:pPr>
              <w:spacing w:after="80" w:line="276" w:lineRule="auto"/>
              <w:jc w:val="both"/>
            </w:pPr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>(Indicar o requisito e o seu fundamento legal)</w:t>
            </w:r>
            <w:r>
              <w:t>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555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right w:val="single" w:sz="4" w:space="0" w:color="00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será exigida prova de qualificação técnica em razão da baixa complexidade da contratação.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91B99" w:rsidRDefault="00A91B99">
            <w:pPr>
              <w:spacing w:before="80" w:after="80" w:line="276" w:lineRule="auto"/>
              <w:jc w:val="both"/>
            </w:pPr>
          </w:p>
        </w:tc>
      </w:tr>
      <w:tr w:rsidR="00A91B99">
        <w:trPr>
          <w:trHeight w:val="555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Os critérios de qualificação técnica estão no art. 67 da Lei Federal nº 14.133/21, cabendo ao TR traduzir as exigências de forma clara e concisa, com as especificações quantitativas e qualitativas dos critérios a serem observados pelo licitante.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Ex: Se o</w:t>
            </w:r>
            <w:r>
              <w:rPr>
                <w:color w:val="4472C4"/>
              </w:rPr>
              <w:t xml:space="preserve"> objeto do contrato for a organização de eventos, a administração pública deve exigir que o licitante comprove ter experiência na organização de um número mínimo de eventos similares, especificando o que deve constar no certificado comprobatório.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7.4 -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H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á critério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sustentabilidade?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5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7.5 -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 xml:space="preserve">Há riscos a serem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assumidos pela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contratada?</w:t>
            </w:r>
          </w:p>
        </w:tc>
        <w:tc>
          <w:tcPr>
            <w:tcW w:w="99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  <w:r>
              <w:t xml:space="preserve"> Sim. </w:t>
            </w:r>
          </w:p>
        </w:tc>
        <w:tc>
          <w:tcPr>
            <w:tcW w:w="7075" w:type="dxa"/>
            <w:gridSpan w:val="12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 xml:space="preserve">(Caso se assinale “sim”) </w:t>
            </w:r>
          </w:p>
        </w:tc>
      </w:tr>
      <w:tr w:rsidR="00A91B99">
        <w:trPr>
          <w:trHeight w:val="5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5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A análise de riscos pode identificar riscos a serem suportados pela contratada. Se for este o caso, os riscos devem ser especificados neste campo, sem prejuízo de complemento na matriz de riscos contratual.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8 - FORMA DE ENTREGA DO BEM</w:t>
            </w:r>
          </w:p>
          <w:p w:rsidR="00A91B99" w:rsidRDefault="00AE5BA9">
            <w:pPr>
              <w:keepNext/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e; art. 40, § 1°, II, da Lei Federal nº 14.133/21)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shd w:val="clear" w:color="auto" w:fill="FFFFFF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bookmarkStart w:id="4" w:name="_heading=h.3znysh7" w:colFirst="0" w:colLast="0"/>
            <w:bookmarkEnd w:id="4"/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8.1 - </w:t>
            </w:r>
          </w:p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Como o bem deve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ser entregue?</w:t>
            </w:r>
          </w:p>
        </w:tc>
        <w:tc>
          <w:tcPr>
            <w:tcW w:w="8067" w:type="dxa"/>
            <w:gridSpan w:val="13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 bem deve ser totalmente entregue de uma só vez, conforme edital.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 bem deve ser entregue em </w:t>
            </w:r>
            <w:r>
              <w:rPr>
                <w:b/>
              </w:rPr>
              <w:t>X</w:t>
            </w:r>
            <w:r>
              <w:t xml:space="preserve"> parcelas, sendo a 1ª em até </w:t>
            </w:r>
            <w:r>
              <w:rPr>
                <w:b/>
              </w:rPr>
              <w:t>Y</w:t>
            </w:r>
            <w:r>
              <w:t xml:space="preserve"> dias, a contar do recebimento da nota de empenho, e as demais, conforme necessidade da contratante dentro do prazo de vigência contratual, mediante seu aviso com </w:t>
            </w:r>
            <w:r>
              <w:rPr>
                <w:b/>
              </w:rPr>
              <w:t>Z</w:t>
            </w:r>
            <w:r>
              <w:t> dias de antecedência.</w:t>
            </w:r>
          </w:p>
        </w:tc>
      </w:tr>
      <w:tr w:rsidR="00A91B99">
        <w:trPr>
          <w:trHeight w:val="1282"/>
        </w:trPr>
        <w:tc>
          <w:tcPr>
            <w:tcW w:w="2405" w:type="dxa"/>
            <w:gridSpan w:val="3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8.2 -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Recebimento do bem</w:t>
            </w:r>
          </w:p>
        </w:tc>
        <w:tc>
          <w:tcPr>
            <w:tcW w:w="8067" w:type="dxa"/>
            <w:gridSpan w:val="13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 xml:space="preserve">O bem deve ser entregue na sede da contratante, cujo endereço é </w:t>
            </w:r>
            <w:r>
              <w:rPr>
                <w:b/>
              </w:rPr>
              <w:t>(indicar endereço completo com CEP)</w:t>
            </w:r>
            <w:r>
              <w:t xml:space="preserve">, às </w:t>
            </w:r>
            <w:r>
              <w:rPr>
                <w:b/>
              </w:rPr>
              <w:t>XX</w:t>
            </w:r>
            <w:r>
              <w:t>h</w:t>
            </w:r>
            <w:r>
              <w:rPr>
                <w:b/>
              </w:rPr>
              <w:t>YY</w:t>
            </w:r>
            <w:r>
              <w:t>m.</w:t>
            </w:r>
          </w:p>
        </w:tc>
      </w:tr>
      <w:tr w:rsidR="00A91B99">
        <w:trPr>
          <w:trHeight w:val="1282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Neste campo pode ser incluída a previsão sobre recebimento provisório e, posteriormente, definitivo, e como se processará ess</w:t>
            </w:r>
            <w:r>
              <w:rPr>
                <w:color w:val="4472C4"/>
              </w:rPr>
              <w:t>a etapa, ou se apenas haverá recebimento definitivo.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8.3 -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Prazo máximo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de validade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 xml:space="preserve">No caso de bens perecíveis, o seu prazo de validade na data da entrega não poderá ser menor que </w:t>
            </w:r>
            <w:r>
              <w:rPr>
                <w:b/>
              </w:rPr>
              <w:t>X</w:t>
            </w:r>
            <w:r>
              <w:t xml:space="preserve"> dias, conforme prazo total recomendado pelo fabricante.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9 - PRAZO, FORMA DE PAGAMENTO E GARANTIA DO CONTRATO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 e g, da Lei Federal nº 14.133/21)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9.1 -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Prazo do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contrato</w:t>
            </w:r>
          </w:p>
        </w:tc>
        <w:tc>
          <w:tcPr>
            <w:tcW w:w="8067" w:type="dxa"/>
            <w:gridSpan w:val="13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30 dias </w:t>
            </w:r>
            <w:r>
              <w:rPr>
                <w:rFonts w:ascii="Calibri" w:eastAsia="Calibri" w:hAnsi="Calibri" w:cs="Calibri"/>
              </w:rPr>
              <w:t>(pronta entrega)</w:t>
            </w:r>
            <w:r>
              <w:t>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12 meses.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O prazo do contrato deve ser o suficiente para sua execução. Como regra, ele não deve ter duração superior a 1 exercício financeiro, porém, caso o ultrapasse, o prazo deve observar as leis orçamentárias, especialmente o plano plurianual. </w:t>
            </w:r>
          </w:p>
          <w:p w:rsidR="00A91B99" w:rsidRDefault="00AE5BA9">
            <w:pPr>
              <w:spacing w:before="240" w:after="240"/>
              <w:jc w:val="both"/>
              <w:rPr>
                <w:color w:val="4472C4"/>
              </w:rPr>
            </w:pPr>
            <w:r>
              <w:rPr>
                <w:color w:val="4472C4"/>
              </w:rPr>
              <w:lastRenderedPageBreak/>
              <w:t>Nos contratos d</w:t>
            </w:r>
            <w:r>
              <w:rPr>
                <w:color w:val="4472C4"/>
              </w:rPr>
              <w:t>e escopo, ou seja, cujo objeto se esgota com a entrega do produto ou serviço contratado (e, por isso, não pode ser renovado), o prazo de vigência será automaticamente prorrogado quando seu objeto não for concluído no período firmado no contrato.</w:t>
            </w:r>
          </w:p>
        </w:tc>
      </w:tr>
      <w:tr w:rsidR="00A91B99">
        <w:trPr>
          <w:trHeight w:val="405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DEEBF6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>9.2 -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possibilidade de prorrogação?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Sim, nas hipóteses do art. 111 da Lei Federal nº 14.133/21.</w:t>
            </w:r>
          </w:p>
        </w:tc>
      </w:tr>
      <w:tr w:rsidR="00A91B99">
        <w:trPr>
          <w:trHeight w:val="405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606"/>
        </w:trPr>
        <w:tc>
          <w:tcPr>
            <w:tcW w:w="2405" w:type="dxa"/>
            <w:gridSpan w:val="3"/>
            <w:vMerge w:val="restart"/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9.3 -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Forma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pagamento</w:t>
            </w:r>
          </w:p>
        </w:tc>
        <w:tc>
          <w:tcPr>
            <w:tcW w:w="1701" w:type="dxa"/>
            <w:gridSpan w:val="3"/>
            <w:tcBorders>
              <w:bottom w:val="single" w:sz="4" w:space="0" w:color="FFFFFF"/>
              <w:right w:val="single" w:sz="4" w:space="0" w:color="FFFFFF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Meio</w:t>
            </w:r>
            <w:r>
              <w:t xml:space="preserve"> </w:t>
            </w:r>
          </w:p>
        </w:tc>
        <w:tc>
          <w:tcPr>
            <w:tcW w:w="6366" w:type="dxa"/>
            <w:gridSpan w:val="10"/>
            <w:tcBorders>
              <w:left w:val="single" w:sz="4" w:space="0" w:color="FFFFFF"/>
              <w:bottom w:val="single" w:sz="4" w:space="0" w:color="FFFFFF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Ordem bancária.</w:t>
            </w:r>
          </w:p>
        </w:tc>
      </w:tr>
      <w:tr w:rsidR="00A91B99">
        <w:trPr>
          <w:trHeight w:val="603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Onde?</w:t>
            </w:r>
            <w:r>
              <w:t xml:space="preserve"> </w:t>
            </w:r>
          </w:p>
        </w:tc>
        <w:tc>
          <w:tcPr>
            <w:tcW w:w="636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Conta corrente da contratada no Banco do Estado do Pará.</w:t>
            </w:r>
          </w:p>
        </w:tc>
      </w:tr>
      <w:tr w:rsidR="00A91B99">
        <w:trPr>
          <w:trHeight w:val="603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Qual o prazo?</w:t>
            </w:r>
          </w:p>
        </w:tc>
        <w:tc>
          <w:tcPr>
            <w:tcW w:w="636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 xml:space="preserve">Até </w:t>
            </w:r>
            <w:r>
              <w:rPr>
                <w:b/>
              </w:rPr>
              <w:t>X</w:t>
            </w:r>
            <w:r>
              <w:t xml:space="preserve"> dias corridos, a contar do recebimento da nota fiscal (ou fatura) com o comprovante de regularidade fiscal da contratada.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Prova da </w:t>
            </w:r>
            <w:r>
              <w:rPr>
                <w:b/>
              </w:rPr>
              <w:br/>
              <w:t xml:space="preserve">regularidade </w:t>
            </w:r>
            <w:r>
              <w:rPr>
                <w:b/>
              </w:rPr>
              <w:br/>
              <w:t>fiscal</w:t>
            </w:r>
          </w:p>
        </w:tc>
        <w:tc>
          <w:tcPr>
            <w:tcW w:w="6366" w:type="dxa"/>
            <w:gridSpan w:val="10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A regularidade fiscal pode ser provada:</w:t>
            </w:r>
          </w:p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1.</w:t>
            </w:r>
            <w:r>
              <w:t xml:space="preserve"> Por consulta ao SICAF ou Cadastramento Unificado de Licitante.</w:t>
            </w:r>
          </w:p>
          <w:p w:rsidR="00A91B99" w:rsidRDefault="00AE5BA9">
            <w:pPr>
              <w:spacing w:before="80" w:after="80" w:line="276" w:lineRule="auto"/>
              <w:jc w:val="both"/>
              <w:rPr>
                <w:i/>
              </w:rPr>
            </w:pPr>
            <w:r>
              <w:rPr>
                <w:i/>
              </w:rPr>
              <w:t>ou</w:t>
            </w:r>
          </w:p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2.</w:t>
            </w:r>
            <w:r>
              <w:t xml:space="preserve"> Pela apresentação dos documentos constantes no art. 68 da Lei Federal nº 14.133/21, quando não for possível consultar aos sistemas oficiais.</w:t>
            </w:r>
          </w:p>
        </w:tc>
      </w:tr>
      <w:tr w:rsidR="00A91B99">
        <w:trPr>
          <w:trHeight w:val="45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9.4 - </w:t>
            </w:r>
          </w:p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 a garantia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do contrato?</w:t>
            </w:r>
          </w:p>
        </w:tc>
        <w:tc>
          <w:tcPr>
            <w:tcW w:w="3686" w:type="dxa"/>
            <w:gridSpan w:val="8"/>
            <w:tcBorders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X</w:t>
            </w:r>
            <w:r>
              <w:t>% do valor inicial do contrato.</w:t>
            </w:r>
          </w:p>
        </w:tc>
        <w:tc>
          <w:tcPr>
            <w:tcW w:w="4381" w:type="dxa"/>
            <w:gridSpan w:val="5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b/>
                <w:color w:val="FFFFFF"/>
              </w:rPr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tenha garantia)</w:t>
            </w:r>
          </w:p>
        </w:tc>
      </w:tr>
      <w:tr w:rsidR="00A91B99">
        <w:trPr>
          <w:trHeight w:val="45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há.</w:t>
            </w:r>
          </w:p>
        </w:tc>
        <w:tc>
          <w:tcPr>
            <w:tcW w:w="438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(caso não tenha garantia)</w:t>
            </w:r>
          </w:p>
        </w:tc>
      </w:tr>
      <w:tr w:rsidR="00A91B99">
        <w:trPr>
          <w:trHeight w:val="450"/>
        </w:trPr>
        <w:tc>
          <w:tcPr>
            <w:tcW w:w="10472" w:type="dxa"/>
            <w:gridSpan w:val="16"/>
            <w:tcBorders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/>
              <w:jc w:val="both"/>
              <w:rPr>
                <w:color w:val="4472C4"/>
              </w:rPr>
            </w:pPr>
            <w:bookmarkStart w:id="5" w:name="_heading=h.2et92p0" w:colFirst="0" w:colLast="0"/>
            <w:bookmarkEnd w:id="5"/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Não se confunde com a garantia do produto. </w:t>
            </w:r>
          </w:p>
          <w:p w:rsidR="00A91B99" w:rsidRDefault="00AE5BA9">
            <w:pPr>
              <w:jc w:val="both"/>
              <w:rPr>
                <w:color w:val="4472C4"/>
              </w:rPr>
            </w:pPr>
            <w:r>
              <w:rPr>
                <w:color w:val="4472C4"/>
              </w:rPr>
              <w:t>Trata-se de um percentual do valor do contrato que servirá de “caução” para assegurar a prestação do serviço ou fornecimento do produto.</w:t>
            </w:r>
          </w:p>
          <w:p w:rsidR="00A91B99" w:rsidRDefault="00AE5BA9">
            <w:pPr>
              <w:jc w:val="both"/>
              <w:rPr>
                <w:color w:val="4472C4"/>
              </w:rPr>
            </w:pPr>
            <w:r>
              <w:rPr>
                <w:color w:val="4472C4"/>
              </w:rPr>
              <w:t>Se o contrato for executado corretamente, a garantia é devolvida ao contratado.</w:t>
            </w:r>
          </w:p>
          <w:p w:rsidR="00A91B99" w:rsidRDefault="00AE5BA9">
            <w:pPr>
              <w:jc w:val="both"/>
              <w:rPr>
                <w:color w:val="4472C4"/>
              </w:rPr>
            </w:pPr>
            <w:r>
              <w:rPr>
                <w:color w:val="4472C4"/>
              </w:rPr>
              <w:t>Se o contrato não for cumprido pelo par</w:t>
            </w:r>
            <w:r>
              <w:rPr>
                <w:color w:val="4472C4"/>
              </w:rPr>
              <w:t>ticular, o Estado pode ficar com a garantia como ressarcimento pelos eventuais prejuízos causados pela inexecução contratual ou como pagamento de eventual multa contratual.</w:t>
            </w:r>
          </w:p>
          <w:p w:rsidR="00A91B99" w:rsidRDefault="00AE5BA9">
            <w:pPr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O percentual somente pode ser superior a </w:t>
            </w:r>
            <w:r>
              <w:rPr>
                <w:b/>
                <w:color w:val="4472C4"/>
              </w:rPr>
              <w:t>5%</w:t>
            </w:r>
            <w:r>
              <w:rPr>
                <w:color w:val="4472C4"/>
              </w:rPr>
              <w:t xml:space="preserve"> mediante justificativa na complexidade </w:t>
            </w:r>
            <w:r>
              <w:rPr>
                <w:color w:val="4472C4"/>
              </w:rPr>
              <w:t>técnica ou nos riscos envolvidos, não podendo ser superior a 10%.</w:t>
            </w:r>
          </w:p>
          <w:p w:rsidR="00A91B99" w:rsidRDefault="00AE5BA9">
            <w:pPr>
              <w:jc w:val="both"/>
              <w:rPr>
                <w:color w:val="4472C4"/>
              </w:rPr>
            </w:pPr>
            <w:r>
              <w:rPr>
                <w:color w:val="4472C4"/>
              </w:rPr>
              <w:t>A garantia pode ser prestada, de acordo com opção do contratado, por uma das seguintes modalidades: caução em dinheiro ou em títulos da dívida pública; seguro-garantia; ou fiança bancária.</w:t>
            </w:r>
          </w:p>
          <w:p w:rsidR="00A91B99" w:rsidRDefault="00AE5BA9">
            <w:pPr>
              <w:spacing w:after="240"/>
              <w:jc w:val="both"/>
            </w:pPr>
            <w:r>
              <w:rPr>
                <w:color w:val="4472C4"/>
              </w:rPr>
              <w:t>T</w:t>
            </w:r>
            <w:r>
              <w:rPr>
                <w:color w:val="4472C4"/>
              </w:rPr>
              <w:t>anto a exigência quanto a dispensa de garantia devem ser justificadas.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tcBorders>
              <w:top w:val="nil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10 - PREVISÃO ORÇAMENTÁRIA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j, da Lei Federal nº 14.133/21)</w:t>
            </w:r>
          </w:p>
        </w:tc>
      </w:tr>
      <w:tr w:rsidR="00A91B99">
        <w:trPr>
          <w:trHeight w:val="447"/>
        </w:trPr>
        <w:tc>
          <w:tcPr>
            <w:tcW w:w="2405" w:type="dxa"/>
            <w:gridSpan w:val="3"/>
            <w:vMerge w:val="restart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>10.1 -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Dados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orçamentários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da contratação</w:t>
            </w:r>
          </w:p>
        </w:tc>
        <w:tc>
          <w:tcPr>
            <w:tcW w:w="2693" w:type="dxa"/>
            <w:gridSpan w:val="5"/>
            <w:tcBorders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91B99">
            <w:pPr>
              <w:spacing w:before="80" w:after="80" w:line="276" w:lineRule="auto"/>
              <w:jc w:val="right"/>
            </w:pPr>
          </w:p>
          <w:p w:rsidR="00A91B99" w:rsidRDefault="00AE5BA9">
            <w:pPr>
              <w:spacing w:before="80" w:after="80" w:line="276" w:lineRule="auto"/>
              <w:jc w:val="right"/>
            </w:pPr>
            <w:r>
              <w:t>Funcional Programática:</w:t>
            </w:r>
          </w:p>
        </w:tc>
        <w:tc>
          <w:tcPr>
            <w:tcW w:w="5374" w:type="dxa"/>
            <w:gridSpan w:val="8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91B99">
            <w:pPr>
              <w:spacing w:after="80" w:line="276" w:lineRule="auto"/>
              <w:jc w:val="both"/>
            </w:pPr>
          </w:p>
          <w:p w:rsidR="00A91B99" w:rsidRDefault="00AE5BA9">
            <w:pPr>
              <w:spacing w:after="80" w:line="276" w:lineRule="auto"/>
              <w:jc w:val="both"/>
            </w:pPr>
            <w:r>
              <w:t>xxx.</w:t>
            </w:r>
          </w:p>
        </w:tc>
      </w:tr>
      <w:tr w:rsidR="00A91B99">
        <w:trPr>
          <w:trHeight w:val="446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</w:pPr>
            <w:r>
              <w:t>Elemento de Despesa:</w:t>
            </w:r>
          </w:p>
        </w:tc>
        <w:tc>
          <w:tcPr>
            <w:tcW w:w="5374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xxx.</w:t>
            </w:r>
          </w:p>
        </w:tc>
      </w:tr>
      <w:tr w:rsidR="00A91B99">
        <w:trPr>
          <w:trHeight w:val="446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</w:pPr>
            <w:r>
              <w:t>Fonte do Recurso:</w:t>
            </w:r>
          </w:p>
        </w:tc>
        <w:tc>
          <w:tcPr>
            <w:tcW w:w="5374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t>xxx.</w:t>
            </w:r>
          </w:p>
        </w:tc>
      </w:tr>
      <w:tr w:rsidR="00A91B99">
        <w:trPr>
          <w:trHeight w:val="446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91B99">
            <w:pPr>
              <w:spacing w:before="80" w:after="80" w:line="276" w:lineRule="auto"/>
              <w:jc w:val="both"/>
            </w:pPr>
          </w:p>
        </w:tc>
      </w:tr>
      <w:tr w:rsidR="00A91B99">
        <w:trPr>
          <w:trHeight w:val="446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É a indicação do elemento de despesa, fonte de recurso e funcional programática, que aponte a existência de recursos orçamentários suficientes para a contratação.</w:t>
            </w:r>
          </w:p>
        </w:tc>
      </w:tr>
    </w:tbl>
    <w:p w:rsidR="00A91B99" w:rsidRDefault="00AE5BA9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Cidade (PA), 30 de julho de 2024.</w:t>
      </w:r>
    </w:p>
    <w:p w:rsidR="00A91B99" w:rsidRDefault="00A91B99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</w:p>
    <w:p w:rsidR="00A91B99" w:rsidRDefault="00AE5BA9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(</w:t>
      </w:r>
      <w:r>
        <w:rPr>
          <w:rFonts w:ascii="Quattrocento Sans" w:eastAsia="Quattrocento Sans" w:hAnsi="Quattrocento Sans" w:cs="Quattrocento Sans"/>
          <w:i/>
        </w:rPr>
        <w:t>Assinatura</w:t>
      </w:r>
      <w:r>
        <w:rPr>
          <w:rFonts w:ascii="Quattrocento Sans" w:eastAsia="Quattrocento Sans" w:hAnsi="Quattrocento Sans" w:cs="Quattrocento Sans"/>
        </w:rPr>
        <w:t>)</w:t>
      </w:r>
    </w:p>
    <w:p w:rsidR="00A91B99" w:rsidRDefault="00AE5BA9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mallCaps/>
        </w:rPr>
      </w:pPr>
      <w:r>
        <w:rPr>
          <w:rFonts w:ascii="Quattrocento Sans" w:eastAsia="Quattrocento Sans" w:hAnsi="Quattrocento Sans" w:cs="Quattrocento Sans"/>
          <w:b/>
          <w:smallCaps/>
        </w:rPr>
        <w:t>Nome do Servidor</w:t>
      </w:r>
    </w:p>
    <w:p w:rsidR="00A91B99" w:rsidRDefault="00AE5BA9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Cargo e matrícula</w:t>
      </w:r>
      <w:r>
        <w:br w:type="page"/>
      </w:r>
    </w:p>
    <w:p w:rsidR="00A91B99" w:rsidRDefault="00AE5BA9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bookmarkStart w:id="6" w:name="_heading=h.tyjcwt" w:colFirst="0" w:colLast="0"/>
      <w:bookmarkEnd w:id="6"/>
      <w:r>
        <w:rPr>
          <w:rFonts w:ascii="Century Gothic" w:eastAsia="Century Gothic" w:hAnsi="Century Gothic" w:cs="Century Gothic"/>
          <w:b/>
        </w:rPr>
        <w:lastRenderedPageBreak/>
        <w:t>TERMO DE REFERÊNCIA DE SERVIÇOS SEM MÃO-DE-OBRA E SEM PRORROGAÇÃO</w:t>
      </w:r>
    </w:p>
    <w:p w:rsidR="00A91B99" w:rsidRDefault="00AE5BA9">
      <w:pPr>
        <w:spacing w:after="480" w:line="276" w:lineRule="auto"/>
        <w:jc w:val="center"/>
        <w:rPr>
          <w:rFonts w:ascii="Quattrocento Sans" w:eastAsia="Quattrocento Sans" w:hAnsi="Quattrocento Sans" w:cs="Quattrocento Sans"/>
          <w:i/>
          <w:sz w:val="22"/>
          <w:szCs w:val="22"/>
        </w:rPr>
      </w:pPr>
      <w:r>
        <w:rPr>
          <w:rFonts w:ascii="Quattrocento Sans" w:eastAsia="Quattrocento Sans" w:hAnsi="Quattrocento Sans" w:cs="Quattrocento Sans"/>
          <w:i/>
          <w:sz w:val="22"/>
          <w:szCs w:val="22"/>
        </w:rPr>
        <w:t>PAE nº aaaa/nnnn</w:t>
      </w:r>
    </w:p>
    <w:tbl>
      <w:tblPr>
        <w:tblStyle w:val="a2"/>
        <w:tblW w:w="10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677"/>
        <w:gridCol w:w="960"/>
        <w:gridCol w:w="992"/>
        <w:gridCol w:w="565"/>
        <w:gridCol w:w="144"/>
        <w:gridCol w:w="425"/>
        <w:gridCol w:w="567"/>
        <w:gridCol w:w="314"/>
        <w:gridCol w:w="395"/>
        <w:gridCol w:w="284"/>
        <w:gridCol w:w="141"/>
        <w:gridCol w:w="130"/>
        <w:gridCol w:w="977"/>
        <w:gridCol w:w="1610"/>
        <w:gridCol w:w="1523"/>
      </w:tblGrid>
      <w:tr w:rsidR="00A91B99">
        <w:tc>
          <w:tcPr>
            <w:tcW w:w="10472" w:type="dxa"/>
            <w:gridSpan w:val="16"/>
            <w:shd w:val="clear" w:color="auto" w:fill="0F4C81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1 - O QUE SERÁ CONTRATADO?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 e i)</w:t>
            </w:r>
          </w:p>
        </w:tc>
      </w:tr>
      <w:tr w:rsidR="00A91B99"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nas colunas abaixo deve ser incluída a descrição detalhada dos bens a serem contratados, evitando que os licitantes ofereçam propostas que não atendam às necessidades da administração pública.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Todas as características do objeto que sejam importantes para</w:t>
            </w:r>
            <w:r>
              <w:rPr>
                <w:color w:val="4472C4"/>
              </w:rPr>
              <w:t xml:space="preserve"> a formulação das propostas devem estar descritas, observando a solução prevista no estudo técnico preliminar, com seus quantitativos e unidades de medida (kg, litro, unidade, resma, etc).</w:t>
            </w:r>
          </w:p>
          <w:p w:rsidR="00A91B99" w:rsidRDefault="00AE5BA9">
            <w:pPr>
              <w:spacing w:after="24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color w:val="4472C4"/>
              </w:rPr>
              <w:t>O valor estimado a ser indicado no TR é o mesmo informado no estudo técnico preliminar. Em etapa posterior, a administração pública elaborará o orçamento estimado.</w:t>
            </w:r>
          </w:p>
        </w:tc>
      </w:tr>
      <w:tr w:rsidR="00A91B99">
        <w:trPr>
          <w:trHeight w:val="85"/>
        </w:trPr>
        <w:tc>
          <w:tcPr>
            <w:tcW w:w="768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Lote</w:t>
            </w:r>
          </w:p>
        </w:tc>
        <w:tc>
          <w:tcPr>
            <w:tcW w:w="677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17" w:type="dxa"/>
            <w:gridSpan w:val="3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50" w:type="dxa"/>
            <w:gridSpan w:val="4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</w:rPr>
              <w:br/>
              <w:t>SIMAS</w:t>
            </w:r>
          </w:p>
        </w:tc>
        <w:tc>
          <w:tcPr>
            <w:tcW w:w="950" w:type="dxa"/>
            <w:gridSpan w:val="4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Und</w:t>
            </w:r>
          </w:p>
        </w:tc>
        <w:tc>
          <w:tcPr>
            <w:tcW w:w="977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610" w:type="dxa"/>
            <w:tcBorders>
              <w:top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b/>
              </w:rPr>
              <w:t>Valor Unitário</w:t>
            </w:r>
            <w:r>
              <w:rPr>
                <w:b/>
              </w:rPr>
              <w:br/>
              <w:t>Estimado</w:t>
            </w:r>
          </w:p>
        </w:tc>
        <w:tc>
          <w:tcPr>
            <w:tcW w:w="1523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91B99">
        <w:trPr>
          <w:trHeight w:val="82"/>
        </w:trPr>
        <w:tc>
          <w:tcPr>
            <w:tcW w:w="768" w:type="dxa"/>
            <w:vMerge w:val="restart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tcBorders>
              <w:right w:val="single" w:sz="4" w:space="0" w:color="FF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768" w:type="dxa"/>
            <w:vMerge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768" w:type="dxa"/>
            <w:vMerge w:val="restart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768" w:type="dxa"/>
            <w:vMerge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7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gridSpan w:val="3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50" w:type="dxa"/>
            <w:gridSpan w:val="4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977" w:type="dxa"/>
            <w:vAlign w:val="center"/>
          </w:tcPr>
          <w:p w:rsidR="00A91B99" w:rsidRDefault="00A91B99">
            <w:pPr>
              <w:spacing w:before="80" w:after="80" w:line="276" w:lineRule="auto"/>
              <w:jc w:val="center"/>
            </w:pPr>
          </w:p>
        </w:tc>
        <w:tc>
          <w:tcPr>
            <w:tcW w:w="1610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</w:pPr>
            <w:r>
              <w:t>R$ 0,00</w:t>
            </w:r>
          </w:p>
        </w:tc>
      </w:tr>
      <w:tr w:rsidR="00A91B99">
        <w:trPr>
          <w:trHeight w:val="82"/>
        </w:trPr>
        <w:tc>
          <w:tcPr>
            <w:tcW w:w="5807" w:type="dxa"/>
            <w:gridSpan w:val="10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42" w:type="dxa"/>
            <w:gridSpan w:val="5"/>
            <w:shd w:val="clear" w:color="auto" w:fill="FFE599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VALOR GLOBAL ESTIMADO</w:t>
            </w:r>
          </w:p>
        </w:tc>
        <w:tc>
          <w:tcPr>
            <w:tcW w:w="1523" w:type="dxa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b/>
              </w:rPr>
            </w:pPr>
            <w:r>
              <w:rPr>
                <w:b/>
              </w:rPr>
              <w:t>R$ 0,00</w:t>
            </w:r>
          </w:p>
        </w:tc>
      </w:tr>
      <w:tr w:rsidR="00A91B99">
        <w:tc>
          <w:tcPr>
            <w:tcW w:w="10472" w:type="dxa"/>
            <w:gridSpan w:val="16"/>
            <w:tcBorders>
              <w:bottom w:val="single" w:sz="4" w:space="0" w:color="00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 xml:space="preserve">2 - JUSTIFICATIVA DA NÃO DIVISÃO DO OBJETO EM LOTES E/OU DO AGRUPAMENTO EM GRUPOS 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40, §§ 2° e 3°, da Lei Federal nº 14.133/21)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Entende-se como “lote” a divisão de um único item em diversos objetos licitatórios (lotes) e como “grupo” a aglutinação de diversos itens (que poderiam, em tese, ser licitados autonomamente) para a formação de um único objeto licitatório </w:t>
            </w:r>
            <w:r>
              <w:rPr>
                <w:color w:val="4472C4"/>
              </w:rPr>
              <w:t>(grupo).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Em razão do princípio do parcelamento, o loteamento é sempre a regra, podendo não ser aplicável somente quando: i) a economia de escala, a redução de custos de gestão de contratos ou a maior vantagem na contratação recomendar a compra do item do mesmo forn</w:t>
            </w:r>
            <w:r>
              <w:rPr>
                <w:color w:val="4472C4"/>
              </w:rPr>
              <w:t>ecedor; ii) o objeto a ser contratado configurar sistema único e integrado e houver a possibilidade de risco ao conjunto do objeto pretendido; iii) o processo de padronização ou de escolha de marca levar a fornecedor exclusivo.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lastRenderedPageBreak/>
              <w:t>Pela mesmo princípio, o agru</w:t>
            </w:r>
            <w:r>
              <w:rPr>
                <w:color w:val="4472C4"/>
              </w:rPr>
              <w:t>pamento é medida excepcional, devendo sua vantagem técnica e econômica ser justificada nos autos.</w:t>
            </w:r>
          </w:p>
        </w:tc>
      </w:tr>
      <w:tr w:rsidR="00A91B99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3 - DESCRIÇÃO DA SOLUÇÃO</w:t>
            </w:r>
          </w:p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c)</w:t>
            </w:r>
          </w:p>
        </w:tc>
      </w:tr>
      <w:tr w:rsidR="00A91B99">
        <w:trPr>
          <w:trHeight w:val="218"/>
        </w:trPr>
        <w:tc>
          <w:tcPr>
            <w:tcW w:w="2405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3.1 -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 o motivo 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contratação?</w:t>
            </w:r>
          </w:p>
        </w:tc>
        <w:tc>
          <w:tcPr>
            <w:tcW w:w="8067" w:type="dxa"/>
            <w:gridSpan w:val="13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91B99" w:rsidRDefault="00A91B99">
            <w:pPr>
              <w:spacing w:after="240" w:line="276" w:lineRule="auto"/>
              <w:jc w:val="both"/>
              <w:rPr>
                <w:color w:val="FFFFFF"/>
              </w:rPr>
            </w:pPr>
          </w:p>
        </w:tc>
      </w:tr>
      <w:tr w:rsidR="00A91B99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A solução foi prevista, em regra, no estudo técnico preliminar e consiste na descrição de todos os bens e serviços necessários para a administração pública resolver o problema (demanda) que gerou a contratação.</w:t>
            </w:r>
          </w:p>
          <w:p w:rsidR="00A91B99" w:rsidRDefault="00AE5BA9">
            <w:pPr>
              <w:spacing w:after="240" w:line="276" w:lineRule="auto"/>
              <w:jc w:val="both"/>
              <w:rPr>
                <w:color w:val="FFFFFF"/>
              </w:rPr>
            </w:pPr>
            <w:r>
              <w:rPr>
                <w:color w:val="4472C4"/>
              </w:rPr>
              <w:t>Nesse campo, deve haver a descrição do moti</w:t>
            </w:r>
            <w:r>
              <w:rPr>
                <w:color w:val="4472C4"/>
              </w:rPr>
              <w:t>vo da solução e o resumo da solução escolhida.</w:t>
            </w:r>
          </w:p>
        </w:tc>
      </w:tr>
      <w:tr w:rsidR="00A91B99">
        <w:trPr>
          <w:trHeight w:val="218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4 - NATUREZA E GARANTIA DO SERVIÇO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a; art. 18, III)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4.1 -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Natureza</w:t>
            </w:r>
          </w:p>
        </w:tc>
        <w:tc>
          <w:tcPr>
            <w:tcW w:w="8067" w:type="dxa"/>
            <w:gridSpan w:val="13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Serviço comum de natureza não continuada.</w:t>
            </w:r>
          </w:p>
        </w:tc>
      </w:tr>
      <w:tr w:rsidR="00A91B99">
        <w:trPr>
          <w:trHeight w:val="844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4.2 -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garantia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do serviço?</w:t>
            </w:r>
          </w:p>
        </w:tc>
        <w:tc>
          <w:tcPr>
            <w:tcW w:w="8067" w:type="dxa"/>
            <w:gridSpan w:val="13"/>
            <w:tcBorders>
              <w:bottom w:val="nil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De acordo com o estudo técnico preliminar, o contratado deverá prestar garantia pelos serviços prestados de, no mínimo, </w:t>
            </w:r>
            <w:r>
              <w:rPr>
                <w:b/>
              </w:rPr>
              <w:t>N</w:t>
            </w:r>
            <w:r>
              <w:t xml:space="preserve"> meses, após a sua conclusão.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5 - CRITÉRIOS DE SELEÇÃO</w:t>
            </w:r>
          </w:p>
          <w:p w:rsidR="00A91B99" w:rsidRDefault="00AE5BA9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h)</w:t>
            </w:r>
          </w:p>
        </w:tc>
      </w:tr>
      <w:tr w:rsidR="00A91B99">
        <w:trPr>
          <w:trHeight w:val="197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explicativa:</w:t>
            </w:r>
            <w:r>
              <w:rPr>
                <w:rFonts w:ascii="Quattrocento Sans" w:eastAsia="Quattrocento Sans" w:hAnsi="Quattrocento Sans" w:cs="Quattrocento Sans"/>
                <w:i/>
                <w:color w:val="4472C4"/>
              </w:rPr>
              <w:t xml:space="preserve"> </w:t>
            </w:r>
            <w:r>
              <w:rPr>
                <w:color w:val="4472C4"/>
              </w:rPr>
              <w:t>O TR deve prever os critérios e regras da fase competitiva da licitação, as quais servirão de base para a elaboração do edital e do contrato.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Por isso, ele indicará a modalidade licitatória escolhida para a contratação (pregão, por exemplo) ou informar se será contratação direta por dispensa ou inexigibilidade.</w:t>
            </w:r>
          </w:p>
          <w:p w:rsidR="00A91B99" w:rsidRDefault="00AE5BA9">
            <w:pPr>
              <w:spacing w:after="240"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Se a dispensa for em razão do valor, utiliza-se a dispensa eletrônica.</w:t>
            </w:r>
          </w:p>
        </w:tc>
      </w:tr>
      <w:tr w:rsidR="00A91B99">
        <w:trPr>
          <w:trHeight w:val="197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5.1 -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forma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contratação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Inexigibilidade</w:t>
            </w:r>
            <w:r>
              <w:t xml:space="preserve"> de licitação, com fundamento no art. 74, </w:t>
            </w:r>
            <w:r>
              <w:rPr>
                <w:b/>
              </w:rPr>
              <w:t>Y</w:t>
            </w:r>
            <w:r>
              <w:t>, da Lei Federal nº 14.133/21.</w:t>
            </w:r>
          </w:p>
        </w:tc>
      </w:tr>
      <w:tr w:rsidR="00A91B99">
        <w:trPr>
          <w:trHeight w:val="175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Dispensa</w:t>
            </w:r>
            <w:r>
              <w:t xml:space="preserve"> de licitação em razão do </w:t>
            </w:r>
            <w:r>
              <w:rPr>
                <w:b/>
              </w:rPr>
              <w:t>valor</w:t>
            </w:r>
            <w:r>
              <w:t>*, com fundamento no art. 75, II, da Lei Federal nº 14.133/21.</w:t>
            </w:r>
          </w:p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* Nesta hipótese, deve-se utilizar preferencialmente a dispensa eletrônica.</w:t>
            </w:r>
          </w:p>
        </w:tc>
      </w:tr>
      <w:tr w:rsidR="00A91B99">
        <w:trPr>
          <w:trHeight w:val="175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Dispensa</w:t>
            </w:r>
            <w:r>
              <w:t xml:space="preserve"> de licitação, com fundamento no art. 75, </w:t>
            </w:r>
            <w:r>
              <w:rPr>
                <w:b/>
              </w:rPr>
              <w:t>Y</w:t>
            </w:r>
            <w:r>
              <w:t>, da Lei Federal nº 14.133/21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Pregão eletrônico.</w:t>
            </w:r>
          </w:p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Concorrência.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5.2 -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critério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julgamento</w:t>
            </w:r>
          </w:p>
        </w:tc>
        <w:tc>
          <w:tcPr>
            <w:tcW w:w="8067" w:type="dxa"/>
            <w:gridSpan w:val="13"/>
            <w:tcBorders>
              <w:bottom w:val="nil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Menor preço.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Maior desconto.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A91B99" w:rsidRDefault="00AE5BA9">
            <w:pPr>
              <w:spacing w:before="240" w:after="240" w:line="276" w:lineRule="auto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Critério de julgamento é aquele utilizado para selecionar a proposta mais vantajosa.</w:t>
            </w:r>
          </w:p>
        </w:tc>
      </w:tr>
      <w:tr w:rsidR="00A91B99">
        <w:trPr>
          <w:trHeight w:val="593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5.3 -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O orçamento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estimado é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sigiloso?</w:t>
            </w:r>
          </w:p>
        </w:tc>
        <w:tc>
          <w:tcPr>
            <w:tcW w:w="992" w:type="dxa"/>
            <w:tcBorders>
              <w:top w:val="single" w:sz="4" w:space="0" w:color="FF0000"/>
              <w:bottom w:val="nil"/>
              <w:right w:val="nil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nil"/>
              <w:bottom w:val="nil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592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1553"/>
        </w:trPr>
        <w:tc>
          <w:tcPr>
            <w:tcW w:w="2405" w:type="dxa"/>
            <w:gridSpan w:val="3"/>
            <w:tcBorders>
              <w:bottom w:val="single" w:sz="4" w:space="0" w:color="000000"/>
            </w:tcBorders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5.4 -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Critério para 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t>proposta ser aceita</w:t>
            </w:r>
          </w:p>
        </w:tc>
        <w:tc>
          <w:tcPr>
            <w:tcW w:w="8067" w:type="dxa"/>
            <w:gridSpan w:val="13"/>
            <w:tcBorders>
              <w:bottom w:val="single" w:sz="4" w:space="0" w:color="000000"/>
            </w:tcBorders>
            <w:vAlign w:val="center"/>
          </w:tcPr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t>A proposta deve observar os valores unitários e global máximos aceitáveis conforme planilha de composição de preços do orçamento estimado.</w:t>
            </w:r>
          </w:p>
        </w:tc>
      </w:tr>
      <w:tr w:rsidR="00A91B99">
        <w:trPr>
          <w:trHeight w:val="841"/>
        </w:trPr>
        <w:tc>
          <w:tcPr>
            <w:tcW w:w="10472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Critério de aceitabilidade dos preços é o valor máximo para a contratação, seja em valor global ou valor unitário de cada item. Caso o licitante apresente proposta em desconformidade com o valor máximo aceitável, ele será desclassificado. 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O critério de </w:t>
            </w:r>
            <w:r>
              <w:rPr>
                <w:color w:val="4472C4"/>
              </w:rPr>
              <w:t>aceitabilidade pode ser sigiloso, se a administração pública justificar que essa medida será favorável à obtenção de proposta mais vantajosa.</w:t>
            </w:r>
          </w:p>
          <w:p w:rsidR="00A91B99" w:rsidRDefault="00AE5BA9">
            <w:pPr>
              <w:spacing w:after="240" w:line="276" w:lineRule="auto"/>
              <w:jc w:val="both"/>
              <w:rPr>
                <w:i/>
                <w:color w:val="4472C4"/>
              </w:rPr>
            </w:pPr>
            <w:r>
              <w:rPr>
                <w:color w:val="4472C4"/>
              </w:rPr>
              <w:t>Se o orçamento estimado for sigiloso, o licitante não saberá os valores unitários e global máximos, razão pela qua</w:t>
            </w:r>
            <w:r>
              <w:rPr>
                <w:color w:val="4472C4"/>
              </w:rPr>
              <w:t>l o critério de aceitabilidade do preço também será considerado “sigiloso” para todos os fins.</w:t>
            </w:r>
          </w:p>
        </w:tc>
      </w:tr>
      <w:tr w:rsidR="00A91B99">
        <w:trPr>
          <w:trHeight w:val="593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5.5 -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itens com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preferência para microempresas e empresas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pequeno porte?</w:t>
            </w:r>
          </w:p>
        </w:tc>
        <w:tc>
          <w:tcPr>
            <w:tcW w:w="992" w:type="dxa"/>
            <w:tcBorders>
              <w:top w:val="single" w:sz="4" w:space="0" w:color="FF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i/>
              </w:rPr>
            </w:pPr>
            <w:r>
              <w:rPr>
                <w:b/>
              </w:rPr>
              <w:t>Indicar os itens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592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240" w:after="24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592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  <w:rPr>
                <w:i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O tratamento diferenciado para microempresas (ME) e empresa de pequeno porte (EPP) deve ser realizado a partir da: i) licitação exclusiva quando um item ou lote não ultrapassar R$ 80.000,00; ii) estabelecimento, em certames para aquisição de bens de natu</w:t>
            </w:r>
            <w:r>
              <w:rPr>
                <w:color w:val="4472C4"/>
              </w:rPr>
              <w:t>reza divisível, de cota de até 25% (vinte e cinco por cento) do objeto (Lei Complementar nº 123, de 14 de dezembro de 2006, art. 48, I e III).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tcBorders>
              <w:top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6 - REQUISITOS DA CONTRATADA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d)</w:t>
            </w:r>
          </w:p>
        </w:tc>
      </w:tr>
      <w:tr w:rsidR="00A91B99">
        <w:trPr>
          <w:trHeight w:val="248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 xml:space="preserve">Nota explicativa: </w:t>
            </w:r>
            <w:r>
              <w:rPr>
                <w:color w:val="4472C4"/>
              </w:rPr>
              <w:t>Os requisitos da contratação também estão no estudo técnico preliminar e se referem ao atendimento das necessidades; critérios e práticas de sustentabilidade que podem constar das especificações técnicas dos produtos e serviços ou das obrigações da contrat</w:t>
            </w:r>
            <w:r>
              <w:rPr>
                <w:color w:val="4472C4"/>
              </w:rPr>
              <w:t>ada e requisitos específicos de habilitação técnica; identificação das soluções existentes no mercado, como produtos, fornecedores, fabricantes, etc.</w:t>
            </w:r>
          </w:p>
          <w:p w:rsidR="00A91B99" w:rsidRDefault="00AE5BA9">
            <w:pPr>
              <w:spacing w:after="240"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O Termo de Referência estabelecerá os seguintes critérios:</w:t>
            </w:r>
          </w:p>
          <w:p w:rsidR="00A91B99" w:rsidRDefault="00AE5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Habilitação Jurídica e Regularidade Fiscal: O T</w:t>
            </w:r>
            <w:r>
              <w:rPr>
                <w:rFonts w:ascii="Calibri" w:eastAsia="Calibri" w:hAnsi="Calibri" w:cs="Calibri"/>
                <w:color w:val="4472C4"/>
              </w:rPr>
              <w:t>R indicará os requisitos legais que as empresas devem atender para participar do processo licitatório. Em regra, a habilitação jurídica é comprovada pela inscrição no SICAF sem pendências para a participação em licitação ou contratação. Caso o objeto a ser</w:t>
            </w:r>
            <w:r>
              <w:rPr>
                <w:rFonts w:ascii="Calibri" w:eastAsia="Calibri" w:hAnsi="Calibri" w:cs="Calibri"/>
                <w:color w:val="4472C4"/>
              </w:rPr>
              <w:t xml:space="preserve"> contrato demande outros documentos ou informações, estes precisam estar descritos no TR, com a correspondente justificativa.</w:t>
            </w:r>
          </w:p>
          <w:p w:rsidR="00A91B99" w:rsidRDefault="00AE5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Qualificação Econômico-Financeira: O TR definirá os critérios para avaliar a capacidade financeira das empresas concorrentes. Essa</w:t>
            </w:r>
            <w:r>
              <w:rPr>
                <w:rFonts w:ascii="Calibri" w:eastAsia="Calibri" w:hAnsi="Calibri" w:cs="Calibri"/>
                <w:color w:val="4472C4"/>
              </w:rPr>
              <w:t xml:space="preserve"> análise considera aspectos como patrimônio líquido, capital social, capacidade de pagamento e saúde financeira da empresa.</w:t>
            </w:r>
          </w:p>
          <w:p w:rsidR="00A91B99" w:rsidRDefault="00AE5B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Qualificação Técnica: O TR também estabelecerá os requisitos técnicos que as empresas devem atender. Esses critérios devem ser previstos no próprio termo de referência.</w:t>
            </w:r>
          </w:p>
        </w:tc>
      </w:tr>
      <w:tr w:rsidR="00A91B99">
        <w:trPr>
          <w:trHeight w:val="248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Será exigida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habilitação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técnica?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1134" w:type="dxa"/>
            <w:gridSpan w:val="3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>Qual?</w:t>
            </w:r>
          </w:p>
        </w:tc>
        <w:tc>
          <w:tcPr>
            <w:tcW w:w="5941" w:type="dxa"/>
            <w:gridSpan w:val="9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i/>
              </w:rPr>
              <w:t>(Especificar a exigência, Caso se assinale “sim”)</w:t>
            </w:r>
          </w:p>
        </w:tc>
      </w:tr>
      <w:tr w:rsidR="00A91B99">
        <w:trPr>
          <w:trHeight w:val="247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FF0000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>Por que?</w:t>
            </w:r>
          </w:p>
        </w:tc>
        <w:tc>
          <w:tcPr>
            <w:tcW w:w="5941" w:type="dxa"/>
            <w:gridSpan w:val="9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45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  <w:bottom w:val="single" w:sz="4" w:space="0" w:color="000000"/>
            </w:tcBorders>
            <w:shd w:val="clear" w:color="auto" w:fill="FFFFFF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204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6.2 -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Qualificações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técnicas exigidas</w:t>
            </w:r>
          </w:p>
        </w:tc>
        <w:tc>
          <w:tcPr>
            <w:tcW w:w="38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Declaração de ciência das informações necessárias para o cumprimento da futura obrigação contratual.</w:t>
            </w:r>
          </w:p>
        </w:tc>
        <w:tc>
          <w:tcPr>
            <w:tcW w:w="4240" w:type="dxa"/>
            <w:gridSpan w:val="4"/>
            <w:tcBorders>
              <w:top w:val="nil"/>
              <w:left w:val="single" w:sz="4" w:space="0" w:color="FFFFFF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202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20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Registro na entidade profissional competente.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de cada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735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Indicação de pessoal técnico, instalações e aparelhamento para o cumprimento da futura obrigação contratual com a comprovação de qualificação técnica de cada membro </w:t>
            </w:r>
            <w:r>
              <w:lastRenderedPageBreak/>
              <w:t>da equipe técnica responsável pela execução dos trabalhos.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lastRenderedPageBreak/>
              <w:t>Justificativa</w:t>
            </w:r>
            <w:r>
              <w:t>:</w:t>
            </w:r>
            <w:r>
              <w:rPr>
                <w:i/>
              </w:rPr>
              <w:t xml:space="preserve"> (Justificar o mo</w:t>
            </w:r>
            <w:r>
              <w:rPr>
                <w:i/>
              </w:rPr>
              <w:t>tivo 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735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Atestado de responsabilidade técnica relativos à qualificação técnico-profissional com comprovação de registro em conselho profissional competente, quando for o caso.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caso, e indicar o que o atestado deve conter ou comprovar)</w:t>
            </w:r>
            <w:r>
              <w:t>.</w:t>
            </w:r>
          </w:p>
        </w:tc>
      </w:tr>
      <w:tr w:rsidR="00A91B99">
        <w:trPr>
          <w:trHeight w:val="735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Atestado de capacidade, relativo à qualificação técnico operacional.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</w:t>
            </w:r>
            <w:r>
              <w:rPr>
                <w:i/>
              </w:rPr>
              <w:t>ncia, indicando a legislação aplicável, se for o caso, e indicar o que o atestado deve conter ou comprovar)</w:t>
            </w:r>
            <w:r>
              <w:t>.</w:t>
            </w:r>
          </w:p>
        </w:tc>
      </w:tr>
      <w:tr w:rsidR="00A91B99">
        <w:trPr>
          <w:trHeight w:val="555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Outro previsto em lei especial. </w:t>
            </w:r>
          </w:p>
          <w:p w:rsidR="00A91B99" w:rsidRDefault="00AE5BA9">
            <w:pPr>
              <w:spacing w:after="80" w:line="276" w:lineRule="auto"/>
              <w:jc w:val="both"/>
            </w:pPr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>(Indicar o requisito e o seu fundamento legal)</w:t>
            </w:r>
            <w:r>
              <w:t>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Justificativa</w:t>
            </w:r>
            <w:r>
              <w:t>:</w:t>
            </w:r>
            <w:r>
              <w:rPr>
                <w:i/>
              </w:rPr>
              <w:t xml:space="preserve"> (Justificar o motivo da exigência, indicando a legislação aplicável, se for o caso)</w:t>
            </w:r>
            <w:r>
              <w:t>.</w:t>
            </w:r>
          </w:p>
        </w:tc>
      </w:tr>
      <w:tr w:rsidR="00A91B99">
        <w:trPr>
          <w:trHeight w:val="555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será exigida prova de qualificação técnica em razão da baixa complexidade da contratação.</w:t>
            </w: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91B99" w:rsidRDefault="00A91B99">
            <w:pPr>
              <w:spacing w:after="80" w:line="276" w:lineRule="auto"/>
              <w:jc w:val="both"/>
            </w:pPr>
          </w:p>
        </w:tc>
      </w:tr>
      <w:tr w:rsidR="00A91B99">
        <w:trPr>
          <w:trHeight w:val="555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Os critérios de qualificação técnica estão no art. 67 da Lei Federal nº 14.133/21, cabendo ao TR traduzir as exigências de forma clara e concisa, com as especificações quantitativas e qualitativas dos critérios a observados pelo licitante.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Ex: Se o objet</w:t>
            </w:r>
            <w:r>
              <w:rPr>
                <w:color w:val="4472C4"/>
              </w:rPr>
              <w:t>o do contrato for a organização de eventos, a administração pública deve exigir que o licitante comprove ter experiência na organização de um número mínimo de eventos similares, especificando o que deve constar no certificado comprobatório.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6.3 -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critério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sustentabilidade?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0000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b/>
              </w:rPr>
              <w:t>Especificar</w:t>
            </w:r>
            <w:r>
              <w:t xml:space="preserve">: </w:t>
            </w:r>
            <w:r>
              <w:rPr>
                <w:i/>
              </w:rPr>
              <w:t>(Caso se assinale “sim”)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5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6.4 -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Há riscos a serem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assumidos pela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contratada?</w:t>
            </w:r>
          </w:p>
        </w:tc>
        <w:tc>
          <w:tcPr>
            <w:tcW w:w="99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 </w:t>
            </w:r>
          </w:p>
        </w:tc>
        <w:tc>
          <w:tcPr>
            <w:tcW w:w="7075" w:type="dxa"/>
            <w:gridSpan w:val="12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b/>
              </w:rPr>
              <w:t>Especificar</w:t>
            </w:r>
            <w:r>
              <w:t>: (</w:t>
            </w:r>
            <w:r>
              <w:rPr>
                <w:i/>
              </w:rPr>
              <w:t>Caso se assinale “sim”)</w:t>
            </w:r>
          </w:p>
        </w:tc>
      </w:tr>
      <w:tr w:rsidR="00A91B99">
        <w:trPr>
          <w:trHeight w:val="5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5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Somente é possível definir os riscos se a análise de risco tiver sido realizada. Nessa hipótese, os riscos devem ser especificados neste campo, sem prejuízo de complemento em eventual matriz de risco contratual.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lastRenderedPageBreak/>
              <w:t xml:space="preserve">6.5 -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Há previsão de vistoria?</w:t>
            </w:r>
          </w:p>
        </w:tc>
        <w:tc>
          <w:tcPr>
            <w:tcW w:w="992" w:type="dxa"/>
            <w:tcBorders>
              <w:top w:val="single" w:sz="4" w:space="0" w:color="FF0000"/>
              <w:bottom w:val="nil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  <w:tc>
          <w:tcPr>
            <w:tcW w:w="7075" w:type="dxa"/>
            <w:gridSpan w:val="1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 xml:space="preserve">O licitante deverá realizar vistoria nas instalações do local de execução dos serviços no período de </w:t>
            </w:r>
            <w:r>
              <w:rPr>
                <w:b/>
              </w:rPr>
              <w:t>dd/mm/aaaa</w:t>
            </w:r>
            <w:r>
              <w:t xml:space="preserve"> a </w:t>
            </w:r>
            <w:r>
              <w:rPr>
                <w:b/>
              </w:rPr>
              <w:t>dd/mm/aaaa</w:t>
            </w:r>
            <w:r>
              <w:t xml:space="preserve">, no horário </w:t>
            </w:r>
            <w:r>
              <w:rPr>
                <w:b/>
              </w:rPr>
              <w:t>de XXhYYm</w:t>
            </w:r>
            <w:r>
              <w:t xml:space="preserve"> às </w:t>
            </w:r>
            <w:r>
              <w:rPr>
                <w:b/>
              </w:rPr>
              <w:t>XXhYYm</w:t>
            </w:r>
            <w:r>
              <w:t>, mediante agendamento para acompanhamento de servidor do órgão.</w:t>
            </w:r>
          </w:p>
          <w:p w:rsidR="00A91B99" w:rsidRDefault="00AE5BA9">
            <w:pPr>
              <w:spacing w:before="80" w:after="80" w:line="276" w:lineRule="auto"/>
              <w:jc w:val="both"/>
            </w:pPr>
            <w:r>
              <w:t>Caso o licitante não tenha interess</w:t>
            </w:r>
            <w:r>
              <w:t xml:space="preserve">e na vistoria, deverá firmar </w:t>
            </w:r>
            <w:r>
              <w:rPr>
                <w:b/>
              </w:rPr>
              <w:t>declaração</w:t>
            </w:r>
            <w:r>
              <w:t xml:space="preserve"> nesse sentido, concordando com as condições do local de trabalho, </w:t>
            </w:r>
            <w:r>
              <w:rPr>
                <w:b/>
              </w:rPr>
              <w:t>renunciando</w:t>
            </w:r>
            <w:r>
              <w:t xml:space="preserve"> à possibilidade de alegar desconhecimento das instalações posteriormente.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7 - FORMA DE PRESTAÇÃO DO SERVIÇO</w:t>
            </w:r>
          </w:p>
          <w:p w:rsidR="00A91B99" w:rsidRDefault="00AE5BA9">
            <w:pPr>
              <w:keepNext/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e)</w:t>
            </w:r>
          </w:p>
        </w:tc>
      </w:tr>
      <w:tr w:rsidR="00A91B99">
        <w:trPr>
          <w:trHeight w:val="70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 xml:space="preserve">: O campo relativo à forma de prestação do serviço deve conter a descrição da dinâmica de execução do contrato com seus métodos e rotinas, tais como: 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1. Quando o contrato começará a viger (a partir da assinatura do contrato, da ordem de s</w:t>
            </w:r>
            <w:r>
              <w:rPr>
                <w:color w:val="4472C4"/>
              </w:rPr>
              <w:t>erviço, da nota de empenho etc.).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2. Se haverá recebimento provisório e, posteriormente, definitivo, e como se processará essa etapa ou se apenas haverá recebimento definitivo.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3. Quando, como e onde os serviços serão prestados.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4. Indicação do regime de e</w:t>
            </w:r>
            <w:r>
              <w:rPr>
                <w:color w:val="4472C4"/>
              </w:rPr>
              <w:t xml:space="preserve">xecução no caso de serviços, adotando uma das seguintes hipóteses: 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a. Empreitada por preço unitário; b. Empreitada por preço global; c. Empreitada integral; d. Contratação por tarefa; e. Contratação semi-integrada; f. Contratação integrada; g. Forneciment</w:t>
            </w:r>
            <w:r>
              <w:rPr>
                <w:color w:val="4472C4"/>
              </w:rPr>
              <w:t>o e prestação de serviço associado.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Como o serviço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será prestado?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 serviço será prestado conforme emissão de ordem de serviço.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 serviço terá início imediato a partir da assinatura do contrato, contudo a prestação poderá estar sujeita à emissão de ordem de serviço pelo fiscal do contrato.</w:t>
            </w:r>
          </w:p>
        </w:tc>
      </w:tr>
      <w:tr w:rsidR="00A91B99">
        <w:trPr>
          <w:trHeight w:val="1282"/>
        </w:trPr>
        <w:tc>
          <w:tcPr>
            <w:tcW w:w="2405" w:type="dxa"/>
            <w:gridSpan w:val="3"/>
            <w:shd w:val="clear" w:color="auto" w:fill="DEEBF6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7.2 -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local e hora da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prestação do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serviço</w:t>
            </w:r>
          </w:p>
        </w:tc>
        <w:tc>
          <w:tcPr>
            <w:tcW w:w="8067" w:type="dxa"/>
            <w:gridSpan w:val="1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 xml:space="preserve">O serviço deve ser prestado no endereço </w:t>
            </w:r>
            <w:r>
              <w:rPr>
                <w:b/>
              </w:rPr>
              <w:t>(indicar endereço completo com CEP)</w:t>
            </w:r>
            <w:r>
              <w:t xml:space="preserve">, no horário de </w:t>
            </w:r>
            <w:r>
              <w:rPr>
                <w:b/>
              </w:rPr>
              <w:t>XXhYYm</w:t>
            </w:r>
            <w:r>
              <w:t xml:space="preserve"> às </w:t>
            </w:r>
            <w:r>
              <w:rPr>
                <w:b/>
              </w:rPr>
              <w:t>XXhYYm</w:t>
            </w:r>
            <w:r>
              <w:t>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shd w:val="clear" w:color="auto" w:fill="0F4C81"/>
            <w:vAlign w:val="center"/>
          </w:tcPr>
          <w:p w:rsidR="00A91B99" w:rsidRDefault="00AE5BA9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8 - PRAZO, FORMA DE PAGAMENTO E GARANTIA DO CONTRATO</w:t>
            </w:r>
          </w:p>
          <w:p w:rsidR="00A91B99" w:rsidRDefault="00AE5BA9">
            <w:pPr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a e g)</w:t>
            </w:r>
          </w:p>
        </w:tc>
      </w:tr>
      <w:tr w:rsidR="00A91B99">
        <w:trPr>
          <w:trHeight w:val="924"/>
        </w:trPr>
        <w:tc>
          <w:tcPr>
            <w:tcW w:w="2405" w:type="dxa"/>
            <w:gridSpan w:val="3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8.1 - </w:t>
            </w:r>
          </w:p>
          <w:p w:rsidR="00A91B99" w:rsidRDefault="00AE5BA9">
            <w:pPr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Prazo do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contrato</w:t>
            </w:r>
          </w:p>
        </w:tc>
        <w:tc>
          <w:tcPr>
            <w:tcW w:w="8067" w:type="dxa"/>
            <w:gridSpan w:val="13"/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</w:pPr>
            <w:r>
              <w:rPr>
                <w:b/>
              </w:rPr>
              <w:t>X</w:t>
            </w:r>
            <w:r>
              <w:t xml:space="preserve"> meses.</w:t>
            </w:r>
          </w:p>
        </w:tc>
      </w:tr>
      <w:tr w:rsidR="00A91B99">
        <w:trPr>
          <w:trHeight w:val="924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240" w:after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lastRenderedPageBreak/>
              <w:t>Nota explicativa</w:t>
            </w:r>
            <w:r>
              <w:rPr>
                <w:color w:val="4472C4"/>
              </w:rPr>
              <w:t xml:space="preserve">: O prazo do contrato deve ser o suficiente para sua execução. Como regra, ele não deve ter duração superior a 1 exercício financeiro, porém, caso o ultrapasse, o prazo deve observar as leis orçamentárias, especialmente o plano plurianual. </w:t>
            </w:r>
          </w:p>
          <w:p w:rsidR="00A91B99" w:rsidRDefault="00AE5BA9">
            <w:pPr>
              <w:spacing w:before="240"/>
              <w:jc w:val="both"/>
              <w:rPr>
                <w:color w:val="4472C4"/>
              </w:rPr>
            </w:pPr>
            <w:r>
              <w:rPr>
                <w:color w:val="4472C4"/>
              </w:rPr>
              <w:t>A Lei de Licitações prevê os seguintes prazos de vigência para contratos de serviços:</w:t>
            </w:r>
          </w:p>
          <w:p w:rsidR="00A91B99" w:rsidRDefault="00AE5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Nos contratos de fornecimento e prestação de serviço associado, a vigência deve ser a do prazo do fornecimento inicial até cinco anos;</w:t>
            </w:r>
          </w:p>
          <w:p w:rsidR="00A91B99" w:rsidRDefault="00AE5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serviços contínuos, fornecimentos contínuos e de aluguel de equipamentos e programas de informática podem ter duração inicial de 5 anos, prorrogáveis por até 10 anos;</w:t>
            </w:r>
          </w:p>
          <w:p w:rsidR="00A91B99" w:rsidRDefault="00AE5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decorrentes de dispensa de licitação para alta complexidade tecnológic</w:t>
            </w:r>
            <w:r>
              <w:rPr>
                <w:rFonts w:ascii="Calibri" w:eastAsia="Calibri" w:hAnsi="Calibri" w:cs="Calibri"/>
                <w:color w:val="4472C4"/>
              </w:rPr>
              <w:t>a e defesa nacional, forças armadas e segurança nacional, ciência e inovação, transferência de tecnologia para o SUS e insumos estratégicos para a saúde podem ter duração de até 10 anos;</w:t>
            </w:r>
          </w:p>
          <w:p w:rsidR="00A91B99" w:rsidRDefault="00AE5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serviços em regime de monopólio podem ter vigência in</w:t>
            </w:r>
            <w:r>
              <w:rPr>
                <w:rFonts w:ascii="Calibri" w:eastAsia="Calibri" w:hAnsi="Calibri" w:cs="Calibri"/>
                <w:color w:val="4472C4"/>
              </w:rPr>
              <w:t>determinada;</w:t>
            </w:r>
          </w:p>
          <w:p w:rsidR="00A91B99" w:rsidRDefault="00AE5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operação continuada de sistemas estruturantes podem ter duração de até 15 anos;</w:t>
            </w:r>
          </w:p>
          <w:p w:rsidR="00A91B99" w:rsidRDefault="00AE5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714" w:hanging="357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Os contratos de eficiência sem investimento podem ter duração de até 10 anos, enquanto os com investimento podem ter duração de até 35 anos.</w:t>
            </w:r>
          </w:p>
        </w:tc>
      </w:tr>
      <w:tr w:rsidR="00A91B99">
        <w:trPr>
          <w:trHeight w:val="405"/>
        </w:trPr>
        <w:tc>
          <w:tcPr>
            <w:tcW w:w="2405" w:type="dxa"/>
            <w:gridSpan w:val="3"/>
            <w:vMerge w:val="restart"/>
            <w:tcBorders>
              <w:top w:val="single" w:sz="4" w:space="0" w:color="FF0000"/>
            </w:tcBorders>
            <w:shd w:val="clear" w:color="auto" w:fill="DEEBF6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8.2 -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Haverá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possibilidade de prorrogação?</w:t>
            </w:r>
          </w:p>
        </w:tc>
        <w:tc>
          <w:tcPr>
            <w:tcW w:w="8067" w:type="dxa"/>
            <w:gridSpan w:val="13"/>
            <w:tcBorders>
              <w:top w:val="single" w:sz="4" w:space="0" w:color="FF0000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Sim.</w:t>
            </w:r>
          </w:p>
        </w:tc>
      </w:tr>
      <w:tr w:rsidR="00A91B99">
        <w:trPr>
          <w:trHeight w:val="405"/>
        </w:trPr>
        <w:tc>
          <w:tcPr>
            <w:tcW w:w="2405" w:type="dxa"/>
            <w:gridSpan w:val="3"/>
            <w:vMerge/>
            <w:tcBorders>
              <w:top w:val="single" w:sz="4" w:space="0" w:color="FF0000"/>
            </w:tcBorders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Não.</w:t>
            </w:r>
          </w:p>
        </w:tc>
      </w:tr>
      <w:tr w:rsidR="00A91B99">
        <w:trPr>
          <w:trHeight w:val="606"/>
        </w:trPr>
        <w:tc>
          <w:tcPr>
            <w:tcW w:w="2405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8.3 - </w:t>
            </w:r>
          </w:p>
          <w:p w:rsidR="00A91B99" w:rsidRDefault="00AE5BA9">
            <w:pPr>
              <w:spacing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Forma de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pagamento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Meio</w:t>
            </w:r>
            <w:r>
              <w:t xml:space="preserve"> </w:t>
            </w:r>
          </w:p>
        </w:tc>
        <w:tc>
          <w:tcPr>
            <w:tcW w:w="6366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Ordem bancária.</w:t>
            </w:r>
          </w:p>
        </w:tc>
      </w:tr>
      <w:tr w:rsidR="00A91B99">
        <w:trPr>
          <w:trHeight w:val="603"/>
        </w:trPr>
        <w:tc>
          <w:tcPr>
            <w:tcW w:w="2405" w:type="dxa"/>
            <w:gridSpan w:val="3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Onde?</w:t>
            </w:r>
            <w:r>
              <w:t xml:space="preserve"> 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Conta corrente da contratada no Banco do Estado do Pará.</w:t>
            </w:r>
          </w:p>
        </w:tc>
      </w:tr>
      <w:tr w:rsidR="00A91B99">
        <w:trPr>
          <w:trHeight w:val="603"/>
        </w:trPr>
        <w:tc>
          <w:tcPr>
            <w:tcW w:w="2405" w:type="dxa"/>
            <w:gridSpan w:val="3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right"/>
            </w:pPr>
            <w:r>
              <w:rPr>
                <w:b/>
              </w:rPr>
              <w:t>Qual o prazo?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 xml:space="preserve">Até </w:t>
            </w:r>
            <w:r>
              <w:rPr>
                <w:b/>
              </w:rPr>
              <w:t>X</w:t>
            </w:r>
            <w:r>
              <w:t xml:space="preserve"> dias corridos, a contar do recebimento da nota fiscal (ou fatura) com o comprovante de regularidade fiscal da contratada.</w:t>
            </w:r>
          </w:p>
        </w:tc>
      </w:tr>
      <w:tr w:rsidR="00A91B99">
        <w:trPr>
          <w:trHeight w:val="70"/>
        </w:trPr>
        <w:tc>
          <w:tcPr>
            <w:tcW w:w="2405" w:type="dxa"/>
            <w:gridSpan w:val="3"/>
            <w:vMerge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Prova da </w:t>
            </w:r>
            <w:r>
              <w:rPr>
                <w:b/>
              </w:rPr>
              <w:br/>
              <w:t xml:space="preserve">regularidade </w:t>
            </w:r>
            <w:r>
              <w:rPr>
                <w:b/>
              </w:rPr>
              <w:br/>
              <w:t>fiscal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</w:pPr>
            <w:r>
              <w:t>A regularidade fiscal pode ser provada:</w:t>
            </w:r>
          </w:p>
          <w:p w:rsidR="00A91B99" w:rsidRDefault="00AE5BA9">
            <w:pPr>
              <w:spacing w:before="80" w:after="80" w:line="276" w:lineRule="auto"/>
              <w:jc w:val="both"/>
            </w:pPr>
            <w:r>
              <w:t>1. por consulta ao SICAF ou Cadastramento Unificado de Licitante; ou</w:t>
            </w:r>
          </w:p>
          <w:p w:rsidR="00A91B99" w:rsidRDefault="00AE5BA9">
            <w:pPr>
              <w:spacing w:before="80" w:after="80" w:line="276" w:lineRule="auto"/>
              <w:jc w:val="both"/>
            </w:pPr>
            <w:r>
              <w:t>2. pela apresentação dos documentos constantes no art. 68 da Lei Federal nº 14.133/21, quando não for possível consultar aos sistemas oficiais.</w:t>
            </w:r>
          </w:p>
        </w:tc>
      </w:tr>
      <w:tr w:rsidR="00A91B99">
        <w:trPr>
          <w:trHeight w:val="450"/>
        </w:trPr>
        <w:tc>
          <w:tcPr>
            <w:tcW w:w="2405" w:type="dxa"/>
            <w:gridSpan w:val="3"/>
            <w:vMerge w:val="restart"/>
            <w:shd w:val="clear" w:color="auto" w:fill="DEEBF6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8.4 - </w:t>
            </w:r>
          </w:p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Qual a garantia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do contrato?</w:t>
            </w:r>
          </w:p>
        </w:tc>
        <w:tc>
          <w:tcPr>
            <w:tcW w:w="3686" w:type="dxa"/>
            <w:gridSpan w:val="8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X</w:t>
            </w:r>
            <w:r>
              <w:t>% do valor inicial do contrato.</w:t>
            </w:r>
          </w:p>
        </w:tc>
        <w:tc>
          <w:tcPr>
            <w:tcW w:w="4381" w:type="dxa"/>
            <w:gridSpan w:val="5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b/>
                <w:color w:val="FFFFFF"/>
              </w:rPr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tenha garantia)</w:t>
            </w:r>
          </w:p>
        </w:tc>
      </w:tr>
      <w:tr w:rsidR="00A91B99">
        <w:trPr>
          <w:trHeight w:val="450"/>
        </w:trPr>
        <w:tc>
          <w:tcPr>
            <w:tcW w:w="2405" w:type="dxa"/>
            <w:gridSpan w:val="3"/>
            <w:vMerge/>
            <w:shd w:val="clear" w:color="auto" w:fill="DEEBF6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3686" w:type="dxa"/>
            <w:gridSpan w:val="8"/>
            <w:tcBorders>
              <w:top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Não há.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b/>
              </w:rPr>
              <w:t>Justificativa</w:t>
            </w:r>
            <w:r>
              <w:t xml:space="preserve">: </w:t>
            </w:r>
            <w:r>
              <w:rPr>
                <w:i/>
              </w:rPr>
              <w:t>(caso não tenha garantia)</w:t>
            </w:r>
          </w:p>
        </w:tc>
      </w:tr>
      <w:tr w:rsidR="00A91B99">
        <w:trPr>
          <w:trHeight w:val="450"/>
        </w:trPr>
        <w:tc>
          <w:tcPr>
            <w:tcW w:w="10472" w:type="dxa"/>
            <w:gridSpan w:val="16"/>
            <w:tcBorders>
              <w:top w:val="single" w:sz="4" w:space="0" w:color="0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A91B99" w:rsidRDefault="00AE5BA9">
            <w:pPr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lastRenderedPageBreak/>
              <w:t>Nota explicativa</w:t>
            </w:r>
            <w:r>
              <w:rPr>
                <w:color w:val="4472C4"/>
              </w:rPr>
              <w:t xml:space="preserve">: Não se confunde com a garantia de produto. 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Trata-se de um percentual do valor do contrato que servirá de “caução” para assegurar a prestação do serviço ou fornecimento do produto.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Se o contrato for executado corretamente, a garantia é devolvida ao contratado.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>Se o contrato não for cumprido pelo par</w:t>
            </w:r>
            <w:r>
              <w:rPr>
                <w:color w:val="4472C4"/>
              </w:rPr>
              <w:t>ticular, o Estado pode ficar com a garantia como ressarcimento pelos eventuais prejuízos causados pela inexecução contratual ou como pagamento de eventual multa contratual.</w:t>
            </w:r>
          </w:p>
          <w:p w:rsidR="00A91B99" w:rsidRDefault="00AE5BA9">
            <w:pPr>
              <w:spacing w:line="276" w:lineRule="auto"/>
              <w:jc w:val="both"/>
              <w:rPr>
                <w:color w:val="4472C4"/>
              </w:rPr>
            </w:pPr>
            <w:r>
              <w:rPr>
                <w:color w:val="4472C4"/>
              </w:rPr>
              <w:t xml:space="preserve">O percentual somente pode ser superior a 5% mediante justificativa na complexidade </w:t>
            </w:r>
            <w:r>
              <w:rPr>
                <w:color w:val="4472C4"/>
              </w:rPr>
              <w:t>técnica ou nos riscos envolvidos, não podendo ser superior a 10%. Tanto a exigência quanto a dispensa de garantia devem ser justificadas.</w:t>
            </w:r>
          </w:p>
          <w:p w:rsidR="00A91B99" w:rsidRDefault="00AE5BA9">
            <w:pPr>
              <w:spacing w:after="240" w:line="276" w:lineRule="auto"/>
              <w:jc w:val="both"/>
            </w:pPr>
            <w:r>
              <w:rPr>
                <w:color w:val="4472C4"/>
              </w:rPr>
              <w:t>A garantia pode ser prestada, de acordo com opção do contratado, por uma das seguintes modalidades: caução em dinheiro</w:t>
            </w:r>
            <w:r>
              <w:rPr>
                <w:color w:val="4472C4"/>
              </w:rPr>
              <w:t xml:space="preserve"> ou em títulos da dívida pública; seguro-garantia; ou fiança bancária.</w:t>
            </w:r>
          </w:p>
        </w:tc>
      </w:tr>
      <w:tr w:rsidR="00A91B99">
        <w:trPr>
          <w:trHeight w:val="405"/>
        </w:trPr>
        <w:tc>
          <w:tcPr>
            <w:tcW w:w="10472" w:type="dxa"/>
            <w:gridSpan w:val="16"/>
            <w:tcBorders>
              <w:top w:val="single" w:sz="4" w:space="0" w:color="FF0000"/>
              <w:right w:val="single" w:sz="4" w:space="0" w:color="FF0000"/>
            </w:tcBorders>
            <w:shd w:val="clear" w:color="auto" w:fill="0F4C81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9 - PREVISÃO ORÇAMENTÁRIA</w:t>
            </w:r>
          </w:p>
          <w:p w:rsidR="00A91B99" w:rsidRDefault="00AE5BA9">
            <w:pPr>
              <w:keepNext/>
              <w:spacing w:before="80" w:after="80" w:line="276" w:lineRule="auto"/>
              <w:jc w:val="center"/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(art. 6°, XXIII, j)</w:t>
            </w:r>
          </w:p>
        </w:tc>
      </w:tr>
      <w:tr w:rsidR="00A91B99">
        <w:trPr>
          <w:trHeight w:val="447"/>
        </w:trPr>
        <w:tc>
          <w:tcPr>
            <w:tcW w:w="2405" w:type="dxa"/>
            <w:gridSpan w:val="3"/>
            <w:vMerge w:val="restart"/>
            <w:shd w:val="clear" w:color="auto" w:fill="FFFFFF"/>
            <w:vAlign w:val="center"/>
          </w:tcPr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9.1 - </w:t>
            </w:r>
          </w:p>
          <w:p w:rsidR="00A91B99" w:rsidRDefault="00AE5BA9">
            <w:pPr>
              <w:keepNext/>
              <w:spacing w:before="80" w:after="8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 xml:space="preserve">Dados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 xml:space="preserve">orçamentários </w:t>
            </w:r>
            <w:r>
              <w:rPr>
                <w:rFonts w:ascii="Quattrocento Sans" w:eastAsia="Quattrocento Sans" w:hAnsi="Quattrocento Sans" w:cs="Quattrocento Sans"/>
                <w:b/>
                <w:smallCaps/>
              </w:rPr>
              <w:br/>
              <w:t>da contratação</w:t>
            </w:r>
          </w:p>
        </w:tc>
        <w:tc>
          <w:tcPr>
            <w:tcW w:w="2693" w:type="dxa"/>
            <w:gridSpan w:val="5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A91B99" w:rsidRDefault="00A91B99">
            <w:pPr>
              <w:keepNext/>
              <w:spacing w:before="80" w:after="80" w:line="276" w:lineRule="auto"/>
              <w:jc w:val="right"/>
            </w:pPr>
          </w:p>
          <w:p w:rsidR="00A91B99" w:rsidRDefault="00AE5BA9">
            <w:pPr>
              <w:keepNext/>
              <w:spacing w:before="80" w:after="80" w:line="276" w:lineRule="auto"/>
              <w:jc w:val="right"/>
            </w:pPr>
            <w:r>
              <w:t>Funcional Programática:</w:t>
            </w:r>
          </w:p>
        </w:tc>
        <w:tc>
          <w:tcPr>
            <w:tcW w:w="5374" w:type="dxa"/>
            <w:gridSpan w:val="8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91B99" w:rsidRDefault="00A91B99">
            <w:pPr>
              <w:keepNext/>
              <w:spacing w:after="80" w:line="276" w:lineRule="auto"/>
              <w:jc w:val="both"/>
            </w:pPr>
          </w:p>
          <w:p w:rsidR="00A91B99" w:rsidRDefault="00AE5BA9">
            <w:pPr>
              <w:keepNext/>
              <w:spacing w:after="80" w:line="276" w:lineRule="auto"/>
              <w:jc w:val="both"/>
            </w:pPr>
            <w:r>
              <w:t>xxx.</w:t>
            </w:r>
          </w:p>
        </w:tc>
      </w:tr>
      <w:tr w:rsidR="00A91B99">
        <w:trPr>
          <w:trHeight w:val="446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after="80" w:line="276" w:lineRule="auto"/>
              <w:jc w:val="right"/>
            </w:pPr>
            <w:r>
              <w:t>Elemento de Despesa:</w:t>
            </w:r>
          </w:p>
        </w:tc>
        <w:tc>
          <w:tcPr>
            <w:tcW w:w="5374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after="80" w:line="276" w:lineRule="auto"/>
              <w:jc w:val="both"/>
            </w:pPr>
            <w:r>
              <w:t>xxx.</w:t>
            </w:r>
          </w:p>
        </w:tc>
      </w:tr>
      <w:tr w:rsidR="00A91B99">
        <w:trPr>
          <w:trHeight w:val="446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after="80" w:line="276" w:lineRule="auto"/>
              <w:jc w:val="right"/>
            </w:pPr>
            <w:r>
              <w:t>Fonte do Recurso:</w:t>
            </w:r>
          </w:p>
        </w:tc>
        <w:tc>
          <w:tcPr>
            <w:tcW w:w="5374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after="80" w:line="276" w:lineRule="auto"/>
              <w:jc w:val="both"/>
            </w:pPr>
            <w:r>
              <w:t>xxx.</w:t>
            </w:r>
          </w:p>
        </w:tc>
      </w:tr>
      <w:tr w:rsidR="00A91B99">
        <w:trPr>
          <w:trHeight w:val="446"/>
        </w:trPr>
        <w:tc>
          <w:tcPr>
            <w:tcW w:w="2405" w:type="dxa"/>
            <w:gridSpan w:val="3"/>
            <w:vMerge/>
            <w:shd w:val="clear" w:color="auto" w:fill="FFFFFF"/>
            <w:vAlign w:val="center"/>
          </w:tcPr>
          <w:p w:rsidR="00A91B99" w:rsidRDefault="00A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67" w:type="dxa"/>
            <w:gridSpan w:val="13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</w:tcPr>
          <w:p w:rsidR="00A91B99" w:rsidRDefault="00A91B99">
            <w:pPr>
              <w:keepNext/>
              <w:spacing w:before="80" w:after="8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1B99">
        <w:trPr>
          <w:trHeight w:val="446"/>
        </w:trPr>
        <w:tc>
          <w:tcPr>
            <w:tcW w:w="10472" w:type="dxa"/>
            <w:gridSpan w:val="1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:rsidR="00A91B99" w:rsidRDefault="00AE5BA9">
            <w:pPr>
              <w:keepNext/>
              <w:spacing w:before="240" w:line="276" w:lineRule="auto"/>
              <w:jc w:val="both"/>
              <w:rPr>
                <w:color w:val="4472C4"/>
              </w:rPr>
            </w:pPr>
            <w:r>
              <w:rPr>
                <w:i/>
                <w:color w:val="4472C4"/>
              </w:rPr>
              <w:t>Nota explicativa</w:t>
            </w:r>
            <w:r>
              <w:rPr>
                <w:color w:val="4472C4"/>
              </w:rPr>
              <w:t>: É a indicação do elemento de despesa, fonte de recurso e funcional programática, que aponte a existência de recursos orçamentários suficientes para a contratação.</w:t>
            </w:r>
          </w:p>
          <w:p w:rsidR="00A91B99" w:rsidRDefault="00AE5BA9">
            <w:pPr>
              <w:keepNext/>
              <w:spacing w:after="240" w:line="276" w:lineRule="auto"/>
              <w:jc w:val="both"/>
            </w:pPr>
            <w:r>
              <w:rPr>
                <w:color w:val="4472C4"/>
              </w:rPr>
              <w:t>Esses dados estão sujeitos à revisão por ocasião da emissão do atestado de disponibilidade orçamentária.</w:t>
            </w:r>
          </w:p>
        </w:tc>
      </w:tr>
    </w:tbl>
    <w:p w:rsidR="00A91B99" w:rsidRDefault="00A91B99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</w:p>
    <w:p w:rsidR="00A91B99" w:rsidRDefault="00AE5BA9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Cidade (PA), 30 de julho de 2024.</w:t>
      </w:r>
    </w:p>
    <w:p w:rsidR="00A91B99" w:rsidRDefault="00A91B99">
      <w:pPr>
        <w:spacing w:before="200" w:after="200" w:line="276" w:lineRule="auto"/>
        <w:jc w:val="center"/>
        <w:rPr>
          <w:rFonts w:ascii="Quattrocento Sans" w:eastAsia="Quattrocento Sans" w:hAnsi="Quattrocento Sans" w:cs="Quattrocento Sans"/>
        </w:rPr>
      </w:pPr>
    </w:p>
    <w:p w:rsidR="00A91B99" w:rsidRDefault="00AE5BA9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(</w:t>
      </w:r>
      <w:r>
        <w:rPr>
          <w:rFonts w:ascii="Quattrocento Sans" w:eastAsia="Quattrocento Sans" w:hAnsi="Quattrocento Sans" w:cs="Quattrocento Sans"/>
          <w:i/>
        </w:rPr>
        <w:t>Assinatura</w:t>
      </w:r>
      <w:r>
        <w:rPr>
          <w:rFonts w:ascii="Quattrocento Sans" w:eastAsia="Quattrocento Sans" w:hAnsi="Quattrocento Sans" w:cs="Quattrocento Sans"/>
        </w:rPr>
        <w:t>)</w:t>
      </w:r>
    </w:p>
    <w:p w:rsidR="00A91B99" w:rsidRDefault="00AE5BA9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mallCaps/>
        </w:rPr>
      </w:pPr>
      <w:r>
        <w:rPr>
          <w:rFonts w:ascii="Quattrocento Sans" w:eastAsia="Quattrocento Sans" w:hAnsi="Quattrocento Sans" w:cs="Quattrocento Sans"/>
          <w:b/>
          <w:smallCaps/>
        </w:rPr>
        <w:t>Nome do Servidor</w:t>
      </w:r>
    </w:p>
    <w:p w:rsidR="00A91B99" w:rsidRDefault="00AE5BA9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Cargo e matrícula</w:t>
      </w:r>
    </w:p>
    <w:sectPr w:rsidR="00A91B99">
      <w:headerReference w:type="default" r:id="rId14"/>
      <w:headerReference w:type="first" r:id="rId15"/>
      <w:pgSz w:w="11900" w:h="16840"/>
      <w:pgMar w:top="1701" w:right="709" w:bottom="1134" w:left="709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A9" w:rsidRDefault="00AE5BA9">
      <w:r>
        <w:separator/>
      </w:r>
    </w:p>
  </w:endnote>
  <w:endnote w:type="continuationSeparator" w:id="0">
    <w:p w:rsidR="00AE5BA9" w:rsidRDefault="00AE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Times New Roman"/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54" w:rsidRDefault="00AA39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99" w:rsidRDefault="00A91B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505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2976"/>
    </w:tblGrid>
    <w:tr w:rsidR="00A91B99">
      <w:trPr>
        <w:jc w:val="center"/>
      </w:trPr>
      <w:tc>
        <w:tcPr>
          <w:tcW w:w="5529" w:type="dxa"/>
          <w:shd w:val="clear" w:color="auto" w:fill="FFFFFF"/>
        </w:tcPr>
        <w:p w:rsidR="00A91B99" w:rsidRDefault="00AE5B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rFonts w:ascii="Calibri" w:eastAsia="Calibri" w:hAnsi="Calibri" w:cs="Calibri"/>
              <w:smallCaps/>
              <w:color w:val="00000A"/>
            </w:rPr>
          </w:pPr>
          <w:r>
            <w:rPr>
              <w:rFonts w:ascii="Calibri" w:eastAsia="Calibri" w:hAnsi="Calibri" w:cs="Calibri"/>
              <w:smallCaps/>
              <w:color w:val="00000A"/>
            </w:rPr>
            <w:t xml:space="preserve">Manual de </w:t>
          </w:r>
          <w:r>
            <w:rPr>
              <w:rFonts w:ascii="Calibri" w:eastAsia="Calibri" w:hAnsi="Calibri" w:cs="Calibri"/>
              <w:b/>
              <w:smallCaps/>
              <w:color w:val="00000A"/>
            </w:rPr>
            <w:t>fase preparatória e dispensa eletrônica</w:t>
          </w:r>
        </w:p>
      </w:tc>
      <w:tc>
        <w:tcPr>
          <w:tcW w:w="2976" w:type="dxa"/>
          <w:shd w:val="clear" w:color="auto" w:fill="FFFFFF"/>
        </w:tcPr>
        <w:p w:rsidR="00A91B99" w:rsidRDefault="00AE5B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rFonts w:ascii="Calibri" w:eastAsia="Calibri" w:hAnsi="Calibri" w:cs="Calibri"/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rFonts w:ascii="Calibri" w:eastAsia="Calibri" w:hAnsi="Calibri" w:cs="Calibri"/>
              <w:color w:val="00000A"/>
            </w:rPr>
            <w:instrText>PAGE</w:instrText>
          </w:r>
          <w:r w:rsidR="00AA3954">
            <w:rPr>
              <w:color w:val="00000A"/>
            </w:rPr>
            <w:fldChar w:fldCharType="separate"/>
          </w:r>
          <w:r w:rsidR="00AA3954">
            <w:rPr>
              <w:rFonts w:ascii="Calibri" w:eastAsia="Calibri" w:hAnsi="Calibri" w:cs="Calibri"/>
              <w:noProof/>
              <w:color w:val="00000A"/>
            </w:rPr>
            <w:t>26</w:t>
          </w:r>
          <w:r>
            <w:rPr>
              <w:color w:val="00000A"/>
            </w:rPr>
            <w:fldChar w:fldCharType="end"/>
          </w:r>
        </w:p>
      </w:tc>
    </w:tr>
  </w:tbl>
  <w:p w:rsidR="00A91B99" w:rsidRDefault="00A91B9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99" w:rsidRDefault="00A91B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4"/>
      <w:tblW w:w="850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2976"/>
    </w:tblGrid>
    <w:tr w:rsidR="00A91B99">
      <w:tc>
        <w:tcPr>
          <w:tcW w:w="5529" w:type="dxa"/>
          <w:shd w:val="clear" w:color="auto" w:fill="FFFFFF"/>
        </w:tcPr>
        <w:p w:rsidR="00A91B99" w:rsidRDefault="00AE5B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rFonts w:ascii="Calibri" w:eastAsia="Calibri" w:hAnsi="Calibri" w:cs="Calibri"/>
              <w:smallCaps/>
              <w:color w:val="00000A"/>
            </w:rPr>
          </w:pPr>
          <w:r>
            <w:rPr>
              <w:rFonts w:ascii="Calibri" w:eastAsia="Calibri" w:hAnsi="Calibri" w:cs="Calibri"/>
              <w:smallCaps/>
              <w:color w:val="00000A"/>
            </w:rPr>
            <w:t xml:space="preserve">Manual de </w:t>
          </w:r>
          <w:r>
            <w:rPr>
              <w:rFonts w:ascii="Calibri" w:eastAsia="Calibri" w:hAnsi="Calibri" w:cs="Calibri"/>
              <w:b/>
              <w:smallCaps/>
              <w:color w:val="00000A"/>
            </w:rPr>
            <w:t>fase preparatória e dispensa eletrônica</w:t>
          </w:r>
        </w:p>
      </w:tc>
      <w:tc>
        <w:tcPr>
          <w:tcW w:w="2976" w:type="dxa"/>
          <w:shd w:val="clear" w:color="auto" w:fill="FFFFFF"/>
        </w:tcPr>
        <w:p w:rsidR="00A91B99" w:rsidRDefault="00AE5B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rFonts w:ascii="Calibri" w:eastAsia="Calibri" w:hAnsi="Calibri" w:cs="Calibri"/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rFonts w:ascii="Calibri" w:eastAsia="Calibri" w:hAnsi="Calibri" w:cs="Calibri"/>
              <w:color w:val="00000A"/>
            </w:rPr>
            <w:instrText>PAGE</w:instrText>
          </w:r>
          <w:r w:rsidR="00AA3954">
            <w:rPr>
              <w:color w:val="00000A"/>
            </w:rPr>
            <w:fldChar w:fldCharType="separate"/>
          </w:r>
          <w:r w:rsidR="00AA3954">
            <w:rPr>
              <w:rFonts w:ascii="Calibri" w:eastAsia="Calibri" w:hAnsi="Calibri" w:cs="Calibri"/>
              <w:noProof/>
              <w:color w:val="00000A"/>
            </w:rPr>
            <w:t>25</w:t>
          </w:r>
          <w:r>
            <w:rPr>
              <w:color w:val="00000A"/>
            </w:rPr>
            <w:fldChar w:fldCharType="end"/>
          </w:r>
        </w:p>
      </w:tc>
    </w:tr>
  </w:tbl>
  <w:p w:rsidR="00A91B99" w:rsidRDefault="00A91B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A9" w:rsidRDefault="00AE5BA9">
      <w:r>
        <w:separator/>
      </w:r>
    </w:p>
  </w:footnote>
  <w:footnote w:type="continuationSeparator" w:id="0">
    <w:p w:rsidR="00AE5BA9" w:rsidRDefault="00AE5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54" w:rsidRDefault="00AA39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99" w:rsidRDefault="00AE5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5</w:t>
    </w:r>
  </w:p>
  <w:p w:rsidR="00A91B99" w:rsidRDefault="00AE5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Termo de referência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54" w:rsidRDefault="00AA395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99" w:rsidRDefault="00AE5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5</w:t>
    </w:r>
  </w:p>
  <w:p w:rsidR="00A91B99" w:rsidRDefault="00AE5B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Modelo de TR</w:t>
    </w:r>
  </w:p>
  <w:p w:rsidR="00A91B99" w:rsidRDefault="00A91B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99" w:rsidRDefault="00A91B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91D"/>
    <w:multiLevelType w:val="multilevel"/>
    <w:tmpl w:val="7E7A7D04"/>
    <w:lvl w:ilvl="0">
      <w:start w:val="3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1E4E44"/>
    <w:multiLevelType w:val="multilevel"/>
    <w:tmpl w:val="898AE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2D66"/>
    <w:multiLevelType w:val="multilevel"/>
    <w:tmpl w:val="C1ECF00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50195"/>
    <w:multiLevelType w:val="multilevel"/>
    <w:tmpl w:val="A0C29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99"/>
    <w:rsid w:val="00A91B99"/>
    <w:rsid w:val="00AA3954"/>
    <w:rsid w:val="00A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eastAsiaTheme="minorEastAsia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paragraph" w:styleId="Reviso">
    <w:name w:val="Revision"/>
    <w:hidden/>
    <w:uiPriority w:val="99"/>
    <w:semiHidden/>
    <w:rsid w:val="00A85D8C"/>
  </w:style>
  <w:style w:type="character" w:styleId="Refdecomentrio">
    <w:name w:val="annotation reference"/>
    <w:basedOn w:val="Fontepargpadro"/>
    <w:uiPriority w:val="99"/>
    <w:semiHidden/>
    <w:unhideWhenUsed/>
    <w:rsid w:val="005E20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20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0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0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014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0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1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2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3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4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GNBhc3VM6wGakvPKjdk9qH4w==">CgMxLjAyCGguZ2pkZ3hzMgloLjMwajB6bGwyCWguMWZvYjl0ZTIJaC4zem55c2g3MgloLjJldDkycDAyCGgudHlqY3d0OAByITFjWndLY1ZEZXhRMXo1RVFzMjlaZGRyZExlWG1ralgydw==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4857</Words>
  <Characters>26234</Characters>
  <Application>Microsoft Office Word</Application>
  <DocSecurity>0</DocSecurity>
  <Lines>218</Lines>
  <Paragraphs>62</Paragraphs>
  <ScaleCrop>false</ScaleCrop>
  <Company/>
  <LinksUpToDate>false</LinksUpToDate>
  <CharactersWithSpaces>31029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2024-12-17T16:23:00Z</dcterms:created>
  <dcterms:modified xsi:type="dcterms:W3CDTF">2024-12-17T16:24:00Z</dcterms:modified>
</cp:coreProperties>
</file>